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AC" w:rsidRPr="0054504F" w:rsidRDefault="00C2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8B3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Аналітична записка Асоціації міст України</w:t>
      </w:r>
    </w:p>
    <w:p w:rsidR="00394AAC" w:rsidRPr="008B37BA" w:rsidRDefault="00394AAC" w:rsidP="00394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постанов Кабінету Міністрів України від 13.03.2020№ 218 та№ 219 (питання державного архітектурно-будівельного контролю та нагляду)</w:t>
      </w:r>
    </w:p>
    <w:p w:rsidR="00394AAC" w:rsidRPr="008B37BA" w:rsidRDefault="00394AAC" w:rsidP="0039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96F" w:rsidRPr="008B37BA" w:rsidRDefault="00394AAC" w:rsidP="00240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Кабінету Міністрів України від 13.03.2020 «Про ліквідацію Державної архітектурно-будівельної інспекції та внесення змін до деяких постанов Кабінету Міністрів України» № 218 та «Про оптимізацію органів державного архітектурно-будівельного контролю та нагляду» № 219 (далі — постанов</w:t>
      </w:r>
      <w:r w:rsidR="005303D0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наслідки їх прийняття проаналізовані Асоціацією міст України з питань, що прямо стосуються органів місцевого самоврядуван</w:t>
      </w:r>
      <w:r w:rsidR="0024096F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базового рівня (далі – ОМС).</w:t>
      </w:r>
    </w:p>
    <w:p w:rsidR="003C18D3" w:rsidRPr="008B37BA" w:rsidRDefault="005303D0" w:rsidP="003C1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Вказаними п</w:t>
      </w:r>
      <w:r w:rsidR="00C24E24" w:rsidRPr="008B37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</w:t>
      </w:r>
      <w:r w:rsidR="003C18D3" w:rsidRPr="008B37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ами</w:t>
      </w:r>
      <w:r w:rsidRPr="008B37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5303D0" w:rsidRPr="008B37BA" w:rsidRDefault="0075228A" w:rsidP="00530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03D0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ліквідована Державна архітектурно-будівельна інспекція;</w:t>
      </w:r>
    </w:p>
    <w:p w:rsidR="005303D0" w:rsidRPr="008B37BA" w:rsidRDefault="0075228A" w:rsidP="00530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03D0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зупинена дія постанови Кабінету Міністрів України від 23.05.2011 № 553 «Про затвердження Порядку здійснення державного архітектурно-будівельного контролю» </w:t>
      </w:r>
      <w:r w:rsidR="00EF020D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(стосувалася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="00EF020D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набули повноважень державного архітектурно-будівельного контролю)</w:t>
      </w:r>
      <w:r w:rsidR="005303D0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03D0" w:rsidRPr="008B37BA" w:rsidRDefault="0075228A" w:rsidP="00530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329D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внесення обов'язкових змін до законів України </w:t>
      </w:r>
      <w:r w:rsidR="005303D0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утворено нові центральні органи виконавчої влади:</w:t>
      </w:r>
    </w:p>
    <w:p w:rsidR="00D43E57" w:rsidRPr="008B37BA" w:rsidRDefault="00C53849" w:rsidP="0042575E">
      <w:pPr>
        <w:pStyle w:val="a8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 сервісну службу містобудування України, яка реалізує державну політику з питань державного архітектурно-будівельного контролю та нагляду</w:t>
      </w:r>
      <w:r w:rsidR="00D43E57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надання (отримання, реєстрації), відмови у видачі чи анулювання (скасування) документів, що дають право на виконання підготовчих та будівельних робіт, прийняття в експлуатацію закінчених будівництвом об’єктів</w:t>
      </w:r>
      <w:r w:rsidR="0075228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3849" w:rsidRPr="008B37BA" w:rsidRDefault="00C53849" w:rsidP="0042575E">
      <w:pPr>
        <w:pStyle w:val="a8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 інспекцію містобудування України, яка реалізує державну політику з питань державного архітектурно-будівельного контролю та нагляду</w:t>
      </w:r>
      <w:r w:rsidR="00D43E57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(крім повноважень ДССМ)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3849" w:rsidRPr="008B37BA" w:rsidRDefault="00C53849" w:rsidP="0042575E">
      <w:pPr>
        <w:pStyle w:val="a8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Державне агентство з технічного регулювання у містобудуванні України, яке реалізує державну політику з питань технічного регулювання у сфері містобудування.</w:t>
      </w:r>
    </w:p>
    <w:p w:rsidR="00221F2E" w:rsidRPr="008B37BA" w:rsidRDefault="00221F2E" w:rsidP="00221F2E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2E" w:rsidRPr="008B37BA" w:rsidRDefault="00221F2E" w:rsidP="0042575E">
      <w:pPr>
        <w:pStyle w:val="a8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 прийняття цих постанов</w:t>
      </w:r>
      <w:r w:rsidR="008B37B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1F2E" w:rsidRPr="008B37BA" w:rsidRDefault="00221F2E" w:rsidP="0042575E">
      <w:pPr>
        <w:pStyle w:val="a8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зупинка на невизначений термін здійснення органами ДАБК 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контрольних функцій 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(зокрема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8B37B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здійснюють такі функції, у 101 територіальній громаді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). Це загрожує невиконанням вимог законів України та порушеннями прав фізичних та юридичних осіб на належний захист своїх інтересів з боку держави. Зокрема, це виникнення аварійних ситуацій; порушення нормального функціонування лінійних об'єктів інженерно-транспортної інфраструктури, об'єктів комунікацій, зв'язку, енергетики; зростання кількості самочинного будівництва, будівництва із значними порушеннями законодавства, будівельних норм, стандартів і правил та ін.;</w:t>
      </w:r>
    </w:p>
    <w:p w:rsidR="00221F2E" w:rsidRPr="008B37BA" w:rsidRDefault="008B37BA" w:rsidP="0042575E">
      <w:pPr>
        <w:pStyle w:val="a8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штучне </w:t>
      </w:r>
      <w:r w:rsidR="00221F2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блокування роботи Єдиного реєстру дозвільних документів на будівництво та доступу до нього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ОМС</w:t>
      </w:r>
      <w:r w:rsidR="00221F2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 не дозволяє фізичним та юридичним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у</w:t>
      </w:r>
      <w:r w:rsidR="00221F2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належний спосіб отримати визначені законодавством адміністративні послуги у сфері будівництва</w:t>
      </w:r>
      <w:r w:rsidR="003D2023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2023" w:rsidRPr="008B37BA" w:rsidRDefault="003D2023" w:rsidP="0042575E">
      <w:pPr>
        <w:pStyle w:val="a8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публічно заявленої державної політики щодо ролі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новій системі державного управління у сфері архітектури та містобудування.</w:t>
      </w:r>
    </w:p>
    <w:p w:rsidR="00221F2E" w:rsidRPr="008B37BA" w:rsidRDefault="00221F2E" w:rsidP="00221F2E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2E" w:rsidRPr="008B37BA" w:rsidRDefault="003D2023" w:rsidP="0042575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Висновки:</w:t>
      </w:r>
    </w:p>
    <w:p w:rsidR="00CD72AB" w:rsidRPr="008B37BA" w:rsidRDefault="003D2023" w:rsidP="00425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Вчергове державні органи демонструють закритість прийняття рішень, які прямо стосуються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72AB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Вказане суперечить частині 6 статті 4 </w:t>
      </w:r>
      <w:r w:rsidR="003C73D7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Європейської хартії</w:t>
      </w:r>
      <w:r w:rsidR="00CD72AB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самоврядування, ратифікованій Законом України № 452/97-ВР від 15.07.1997</w:t>
      </w:r>
      <w:r w:rsidR="003C73D7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обов'язковість своєчасних та проведених належним чином консультацій з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="003C73D7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процесі планування і прийняття рішень щодо всіх питань, які їх безпосередньо стосуються</w:t>
      </w:r>
      <w:r w:rsidR="00CD72AB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E9B" w:rsidRPr="008B37BA" w:rsidRDefault="00E00E9B" w:rsidP="00425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Відсутність прямо заявленої державними органами позиції, що ролі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сфері державного архітектурно-будівельного контролю та нагляду, дозволяє припустити, що вони будуть позбавлені таких функцій. Варто відзначити, що наявність таких функцій в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наслідком децентралізації повноважень у сфері архітектурно-будівельного контролю та удосконалення містобудівного законодавства, яка відбулася відповідно до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від 09.04.2015 №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320-VIII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частина децентралізаційної реформи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вказаних повноважень була найбільш вагомим здобутком децентралізації та яскравим прикладом застосування принципусубсидіарності, оскільки реально розширювала їх можливості з управління місцевими справами. </w:t>
      </w:r>
    </w:p>
    <w:p w:rsidR="00221F2E" w:rsidRPr="008B37BA" w:rsidRDefault="00221F2E" w:rsidP="0042575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2AB" w:rsidRPr="008B37BA" w:rsidRDefault="00CD72AB" w:rsidP="0042575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r w:rsidR="00823D44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7B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(з урахуванням думки 101 сільської, селищної</w:t>
      </w:r>
      <w:r w:rsidR="00823D44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міс</w:t>
      </w:r>
      <w:r w:rsidR="008B37B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</w:t>
      </w:r>
      <w:r w:rsidR="00823D44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B37B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3D44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виконавчі органи яких здійснюють державний архітектурно-будівельний контроль)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72AB" w:rsidRPr="008B37BA" w:rsidRDefault="003C73D7" w:rsidP="00425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hAnsi="Times New Roman"/>
          <w:sz w:val="28"/>
          <w:szCs w:val="28"/>
        </w:rPr>
        <w:t>1.</w:t>
      </w:r>
      <w:r w:rsidRPr="008B37BA">
        <w:rPr>
          <w:rFonts w:ascii="Times New Roman" w:hAnsi="Times New Roman"/>
          <w:sz w:val="28"/>
          <w:szCs w:val="28"/>
        </w:rPr>
        <w:tab/>
      </w:r>
      <w:r w:rsidR="00CD72AB" w:rsidRPr="008B37BA">
        <w:rPr>
          <w:rFonts w:ascii="Times New Roman" w:hAnsi="Times New Roman"/>
          <w:sz w:val="28"/>
          <w:szCs w:val="28"/>
        </w:rPr>
        <w:t xml:space="preserve">Якнайшвидше відновити для </w:t>
      </w:r>
      <w:r w:rsidR="0042575E" w:rsidRPr="008B37BA">
        <w:rPr>
          <w:rFonts w:ascii="Times New Roman" w:hAnsi="Times New Roman"/>
          <w:sz w:val="28"/>
          <w:szCs w:val="28"/>
        </w:rPr>
        <w:t>ОМС</w:t>
      </w:r>
      <w:r w:rsidR="00CD72AB" w:rsidRPr="008B37BA">
        <w:rPr>
          <w:rFonts w:ascii="Times New Roman" w:hAnsi="Times New Roman"/>
          <w:sz w:val="28"/>
          <w:szCs w:val="28"/>
        </w:rPr>
        <w:t xml:space="preserve"> дію П</w:t>
      </w:r>
      <w:r w:rsidR="00CD72AB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 проведення державного архітектурно-будівельного контролю</w:t>
      </w:r>
      <w:r w:rsidR="005F6122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доступ до </w:t>
      </w:r>
      <w:r w:rsidR="005F6122" w:rsidRPr="008B37BA">
        <w:rPr>
          <w:rFonts w:ascii="Times New Roman" w:eastAsiaTheme="minorHAnsi" w:hAnsi="Times New Roman" w:cs="Times New Roman"/>
          <w:sz w:val="28"/>
          <w:szCs w:val="28"/>
          <w:lang w:eastAsia="uk-UA"/>
        </w:rPr>
        <w:t>Єдиного реєстру дозвільних документів на будівництво</w:t>
      </w:r>
      <w:r w:rsidR="00217630" w:rsidRPr="008B37BA">
        <w:rPr>
          <w:rFonts w:ascii="Times New Roman" w:eastAsiaTheme="minorHAnsi" w:hAnsi="Times New Roman" w:cs="Times New Roman"/>
          <w:sz w:val="28"/>
          <w:szCs w:val="28"/>
          <w:lang w:eastAsia="uk-UA"/>
        </w:rPr>
        <w:t xml:space="preserve"> і розблокувати передбачену законами України діяльність</w:t>
      </w:r>
      <w:r w:rsidR="005F6122" w:rsidRPr="008B37BA">
        <w:rPr>
          <w:rFonts w:ascii="Times New Roman" w:eastAsiaTheme="minorHAnsi" w:hAnsi="Times New Roman" w:cs="Times New Roman"/>
          <w:sz w:val="28"/>
          <w:szCs w:val="28"/>
          <w:lang w:eastAsia="uk-UA"/>
        </w:rPr>
        <w:t>.</w:t>
      </w:r>
    </w:p>
    <w:p w:rsidR="003C73D7" w:rsidRPr="008B37BA" w:rsidRDefault="003C73D7" w:rsidP="00425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Провести консультації з Асоціацією міст України щодо ролі </w:t>
      </w:r>
      <w:r w:rsidR="0042575E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системі державного архітектурно-будівельного контролю.</w:t>
      </w:r>
    </w:p>
    <w:p w:rsidR="004805FC" w:rsidRPr="008B37BA" w:rsidRDefault="000A2DFF" w:rsidP="00425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Зберегти раніше обраний курс на децентралізацію повноважень у сфері архітектурно-будівельного контролю. </w:t>
      </w:r>
      <w:r w:rsidR="008B37B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101</w:t>
      </w:r>
      <w:r w:rsidR="00D64459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ОМС, які здійснюють державний архітектурно-будівельний контроль, свідчить виправданість такого курсу. 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Асоціація міст України переконана, що 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принципом субсидіарності саме ОМС</w:t>
      </w:r>
      <w:r w:rsidR="00D64459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найбільш ефективними</w:t>
      </w:r>
      <w:r w:rsidR="00CF03A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оперативними</w:t>
      </w:r>
      <w:r w:rsidR="00D64459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відповідальними у здійсненні такого контролю. </w:t>
      </w:r>
      <w:r w:rsidR="00CF03A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ОМС – ці повноваження є важливим інструментом впровадження місцевої містобудівної політики.</w:t>
      </w:r>
      <w:r w:rsidR="004805FC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Важливо, що у децентралізованій системі корупційні ризики є набагато </w:t>
      </w:r>
      <w:r w:rsidR="0004036F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слабшими</w:t>
      </w:r>
      <w:r w:rsidR="004805FC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 у централізованій, оскільки відсутні відносини вертикальної підпорядкованості та можливості </w:t>
      </w:r>
      <w:r w:rsidR="0004036F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високо організованої протидії правоохоронним органам, а також із-за більшої наближеності </w:t>
      </w:r>
      <w:r w:rsidR="00764D20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виборців</w:t>
      </w:r>
      <w:r w:rsidR="00823D44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громадського контролю</w:t>
      </w:r>
      <w:r w:rsidR="0004036F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B28" w:rsidRPr="008B37BA" w:rsidRDefault="00764D20" w:rsidP="00425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4459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 м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ожуть </w:t>
      </w:r>
      <w:r w:rsidR="008B37B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виконувати </w:t>
      </w:r>
      <w:r w:rsidR="00D64459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</w:t>
      </w:r>
      <w:r w:rsidR="008B37B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64459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лише щодо об'єктів з незначними (СС1) та середніми (СС2) наслідками</w:t>
      </w:r>
      <w:r w:rsidR="00D64459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(як є на сьогодні)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й щодо об'єктів з значними (СС3) наслідками</w:t>
      </w:r>
      <w:r w:rsidR="008B37BA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крім стратегічних для держави об’єктів та об’єктів з високим екологічними ризиками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4EBC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компетенції державних органів доцільно залишити </w:t>
      </w:r>
      <w:r w:rsidR="00D64459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 державний нагляд за здійсненням ОМС такої компетенції і право на вжиття дієвих заходів впливу за наявності порушень.</w:t>
      </w:r>
    </w:p>
    <w:p w:rsidR="009345F2" w:rsidRPr="008B37BA" w:rsidRDefault="00764D20" w:rsidP="00425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="000A2DFF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проведення наступних місцевих виборів на новій адміністративно-територіальній основі на базовому рівні повноваження з державного архітектурно-будівельного контролю повинні отримати всі</w:t>
      </w:r>
      <w:r w:rsidR="009B7B28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DFF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</w:t>
      </w:r>
      <w:r w:rsidR="00BB750C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0A2DFF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DFF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 сільських, </w:t>
      </w:r>
      <w:r w:rsidR="00BB750C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селищних, міських рад</w:t>
      </w:r>
      <w:r w:rsidR="00D64459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сьогодні повноваження набуваються на добровільних засадах)</w:t>
      </w:r>
      <w:r w:rsidR="000A2DFF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6122" w:rsidRPr="008B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 повноваження повинні поширюватися як на територію населених пунктів так і на інші території територіальних громад.</w:t>
      </w:r>
    </w:p>
    <w:p w:rsidR="00E14992" w:rsidRPr="008B37BA" w:rsidRDefault="00E14992" w:rsidP="00D56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1F0" w:rsidRDefault="008B37BA" w:rsidP="007751F0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Підготовлено 13</w:t>
      </w:r>
      <w:r w:rsidR="00E14992" w:rsidRPr="008B3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.04.2020 </w:t>
      </w:r>
    </w:p>
    <w:p w:rsidR="007751F0" w:rsidRDefault="00E14992" w:rsidP="007751F0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Центральним офісом впровадження децентралізаційної реформи </w:t>
      </w:r>
    </w:p>
    <w:p w:rsidR="009345F2" w:rsidRDefault="00E14992" w:rsidP="007751F0">
      <w:pPr>
        <w:spacing w:after="0" w:line="240" w:lineRule="auto"/>
        <w:ind w:left="4956"/>
      </w:pPr>
      <w:r w:rsidRPr="008B3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Асоціації міст України</w:t>
      </w:r>
    </w:p>
    <w:sectPr w:rsidR="009345F2" w:rsidSect="008B37BA">
      <w:headerReference w:type="default" r:id="rId7"/>
      <w:pgSz w:w="11906" w:h="16838" w:code="9"/>
      <w:pgMar w:top="851" w:right="567" w:bottom="567" w:left="1418" w:header="567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126" w:rsidRDefault="00C42126" w:rsidP="008B37BA">
      <w:pPr>
        <w:spacing w:after="0" w:line="240" w:lineRule="auto"/>
      </w:pPr>
      <w:r>
        <w:separator/>
      </w:r>
    </w:p>
  </w:endnote>
  <w:endnote w:type="continuationSeparator" w:id="0">
    <w:p w:rsidR="00C42126" w:rsidRDefault="00C42126" w:rsidP="008B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126" w:rsidRDefault="00C42126" w:rsidP="008B37BA">
      <w:pPr>
        <w:spacing w:after="0" w:line="240" w:lineRule="auto"/>
      </w:pPr>
      <w:r>
        <w:separator/>
      </w:r>
    </w:p>
  </w:footnote>
  <w:footnote w:type="continuationSeparator" w:id="0">
    <w:p w:rsidR="00C42126" w:rsidRDefault="00C42126" w:rsidP="008B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7820420"/>
      <w:docPartObj>
        <w:docPartGallery w:val="Page Numbers (Top of Page)"/>
        <w:docPartUnique/>
      </w:docPartObj>
    </w:sdtPr>
    <w:sdtEndPr/>
    <w:sdtContent>
      <w:p w:rsidR="008B37BA" w:rsidRDefault="008B37BA" w:rsidP="008B37BA">
        <w:pPr>
          <w:pStyle w:val="ac"/>
          <w:jc w:val="center"/>
        </w:pPr>
        <w:r w:rsidRPr="008B37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37B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37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0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37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4D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</w:rPr>
    </w:lvl>
  </w:abstractNum>
  <w:abstractNum w:abstractNumId="1" w15:restartNumberingAfterBreak="0">
    <w:nsid w:val="161673A9"/>
    <w:multiLevelType w:val="multilevel"/>
    <w:tmpl w:val="7D86DB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</w:rPr>
    </w:lvl>
  </w:abstractNum>
  <w:abstractNum w:abstractNumId="2" w15:restartNumberingAfterBreak="0">
    <w:nsid w:val="1E5A1E21"/>
    <w:multiLevelType w:val="hybridMultilevel"/>
    <w:tmpl w:val="F8F21D0A"/>
    <w:lvl w:ilvl="0" w:tplc="80640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537F1"/>
    <w:multiLevelType w:val="multilevel"/>
    <w:tmpl w:val="C73C00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</w:rPr>
    </w:lvl>
  </w:abstractNum>
  <w:abstractNum w:abstractNumId="4" w15:restartNumberingAfterBreak="0">
    <w:nsid w:val="3FD334C2"/>
    <w:multiLevelType w:val="multilevel"/>
    <w:tmpl w:val="7D86DB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</w:rPr>
    </w:lvl>
  </w:abstractNum>
  <w:abstractNum w:abstractNumId="5" w15:restartNumberingAfterBreak="0">
    <w:nsid w:val="41593C1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F2"/>
    <w:rsid w:val="00033968"/>
    <w:rsid w:val="0004036F"/>
    <w:rsid w:val="00041FC4"/>
    <w:rsid w:val="00050DAC"/>
    <w:rsid w:val="000A2DFF"/>
    <w:rsid w:val="00136623"/>
    <w:rsid w:val="00210B85"/>
    <w:rsid w:val="00217630"/>
    <w:rsid w:val="00221F2E"/>
    <w:rsid w:val="0024096F"/>
    <w:rsid w:val="00285423"/>
    <w:rsid w:val="002F11E2"/>
    <w:rsid w:val="00394AAC"/>
    <w:rsid w:val="003C18D3"/>
    <w:rsid w:val="003C73D7"/>
    <w:rsid w:val="003D2023"/>
    <w:rsid w:val="0042575E"/>
    <w:rsid w:val="004805FC"/>
    <w:rsid w:val="005133B7"/>
    <w:rsid w:val="005303D0"/>
    <w:rsid w:val="0054504F"/>
    <w:rsid w:val="005E4EBC"/>
    <w:rsid w:val="005F6122"/>
    <w:rsid w:val="0075228A"/>
    <w:rsid w:val="00764D20"/>
    <w:rsid w:val="007751F0"/>
    <w:rsid w:val="00823D44"/>
    <w:rsid w:val="008B37BA"/>
    <w:rsid w:val="009345F2"/>
    <w:rsid w:val="009B7B28"/>
    <w:rsid w:val="00A74711"/>
    <w:rsid w:val="00AC6EDD"/>
    <w:rsid w:val="00AD329D"/>
    <w:rsid w:val="00B13883"/>
    <w:rsid w:val="00BB750C"/>
    <w:rsid w:val="00C24E24"/>
    <w:rsid w:val="00C42126"/>
    <w:rsid w:val="00C53849"/>
    <w:rsid w:val="00CD72AB"/>
    <w:rsid w:val="00CF03A8"/>
    <w:rsid w:val="00D43E57"/>
    <w:rsid w:val="00D56A57"/>
    <w:rsid w:val="00D64459"/>
    <w:rsid w:val="00E00E9B"/>
    <w:rsid w:val="00E14992"/>
    <w:rsid w:val="00EF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18353-FEE0-1540-978C-CC010BF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Calibri" w:eastAsia="Calibri" w:hAnsi="Calibri"/>
      <w:color w:val="00000A"/>
      <w:sz w:val="22"/>
    </w:rPr>
  </w:style>
  <w:style w:type="paragraph" w:styleId="3">
    <w:name w:val="heading 3"/>
    <w:basedOn w:val="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1B4B8F"/>
    <w:rPr>
      <w:rFonts w:ascii="Consolas" w:hAnsi="Consolas" w:cs="Consolas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4405DB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6C0B6E"/>
    <w:rPr>
      <w:rFonts w:ascii="Segoe UI" w:hAnsi="Segoe UI" w:cs="Segoe UI"/>
      <w:sz w:val="18"/>
      <w:szCs w:val="18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ascii="Times New Roman" w:hAnsi="Times New Roman" w:cs="OpenSymbol"/>
      <w:sz w:val="28"/>
    </w:rPr>
  </w:style>
  <w:style w:type="character" w:customStyle="1" w:styleId="ListLabel3">
    <w:name w:val="ListLabel 3"/>
    <w:qFormat/>
    <w:rPr>
      <w:rFonts w:cs="OpenSymbol"/>
      <w:sz w:val="28"/>
    </w:rPr>
  </w:style>
  <w:style w:type="character" w:customStyle="1" w:styleId="ListLabel4">
    <w:name w:val="ListLabel 4"/>
    <w:qFormat/>
    <w:rPr>
      <w:rFonts w:cs="OpenSymbol"/>
      <w:sz w:val="28"/>
    </w:rPr>
  </w:style>
  <w:style w:type="character" w:customStyle="1" w:styleId="a5">
    <w:name w:val="Выделение жирным"/>
    <w:rPr>
      <w:b/>
      <w:bCs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28"/>
    </w:rPr>
  </w:style>
  <w:style w:type="character" w:customStyle="1" w:styleId="ListLabel6">
    <w:name w:val="ListLabel 6"/>
    <w:qFormat/>
    <w:rPr>
      <w:rFonts w:eastAsia="Calibri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Pr>
      <w:rFonts w:cs="Symbol"/>
      <w:b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Times New Roman" w:hAnsi="Times New Roman" w:cs="Symbol"/>
      <w:sz w:val="28"/>
    </w:rPr>
  </w:style>
  <w:style w:type="character" w:customStyle="1" w:styleId="ListLabel13">
    <w:name w:val="ListLabel 13"/>
    <w:qFormat/>
    <w:rPr>
      <w:rFonts w:cs="Symbol"/>
      <w:b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Pr>
      <w:rFonts w:cs="Symbol"/>
      <w:b/>
      <w:sz w:val="28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Symbol"/>
      <w:b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  <w:sz w:val="28"/>
    </w:rPr>
  </w:style>
  <w:style w:type="character" w:customStyle="1" w:styleId="ListLabel26">
    <w:name w:val="ListLabel 26"/>
    <w:qFormat/>
    <w:rPr>
      <w:rFonts w:cs="Symbol"/>
      <w:sz w:val="28"/>
    </w:rPr>
  </w:style>
  <w:style w:type="character" w:customStyle="1" w:styleId="ListLabel27">
    <w:name w:val="ListLabel 27"/>
    <w:qFormat/>
    <w:rPr>
      <w:rFonts w:cs="Symbol"/>
      <w:sz w:val="28"/>
    </w:rPr>
  </w:style>
  <w:style w:type="paragraph" w:customStyle="1" w:styleId="1">
    <w:name w:val="Заголовок1"/>
    <w:basedOn w:val="a"/>
    <w:next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Основной текст1"/>
    <w:basedOn w:val="a"/>
    <w:pPr>
      <w:spacing w:after="140" w:line="288" w:lineRule="auto"/>
    </w:pPr>
  </w:style>
  <w:style w:type="paragraph" w:styleId="a6">
    <w:name w:val="List"/>
    <w:basedOn w:val="10"/>
    <w:pPr>
      <w:widowControl w:val="0"/>
      <w:spacing w:line="259" w:lineRule="auto"/>
    </w:pPr>
    <w:rPr>
      <w:rFonts w:asciiTheme="minorHAnsi" w:eastAsiaTheme="minorHAnsi" w:hAnsiTheme="minorHAnsi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13">
    <w:name w:val="Основной текст1"/>
    <w:basedOn w:val="a"/>
    <w:qFormat/>
    <w:pPr>
      <w:spacing w:after="140" w:line="288" w:lineRule="auto"/>
    </w:p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Arial"/>
    </w:rPr>
  </w:style>
  <w:style w:type="paragraph" w:styleId="HTML0">
    <w:name w:val="HTML Preformatted"/>
    <w:basedOn w:val="a"/>
    <w:uiPriority w:val="99"/>
    <w:semiHidden/>
    <w:unhideWhenUsed/>
    <w:qFormat/>
    <w:rsid w:val="001B4B8F"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styleId="a7">
    <w:name w:val="Balloon Text"/>
    <w:basedOn w:val="a"/>
    <w:uiPriority w:val="99"/>
    <w:semiHidden/>
    <w:unhideWhenUsed/>
    <w:qFormat/>
    <w:rsid w:val="006C0B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C3467"/>
    <w:pPr>
      <w:ind w:left="720"/>
      <w:contextualSpacing/>
    </w:pPr>
  </w:style>
  <w:style w:type="paragraph" w:customStyle="1" w:styleId="a9">
    <w:name w:val="Заголовок списка"/>
    <w:basedOn w:val="a"/>
    <w:qFormat/>
  </w:style>
  <w:style w:type="paragraph" w:customStyle="1" w:styleId="aa">
    <w:name w:val="Содержимое списка"/>
    <w:basedOn w:val="a"/>
    <w:qFormat/>
  </w:style>
  <w:style w:type="table" w:styleId="ab">
    <w:name w:val="Table Grid"/>
    <w:basedOn w:val="a1"/>
    <w:uiPriority w:val="39"/>
    <w:rsid w:val="003B74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B37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37BA"/>
    <w:rPr>
      <w:rFonts w:ascii="Calibri" w:eastAsia="Calibri" w:hAnsi="Calibri"/>
      <w:color w:val="00000A"/>
      <w:sz w:val="22"/>
    </w:rPr>
  </w:style>
  <w:style w:type="paragraph" w:styleId="ae">
    <w:name w:val="footer"/>
    <w:basedOn w:val="a"/>
    <w:link w:val="af"/>
    <w:uiPriority w:val="99"/>
    <w:semiHidden/>
    <w:unhideWhenUsed/>
    <w:rsid w:val="008B37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B37BA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3921</Words>
  <Characters>2235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Мягкоход</dc:creator>
  <cp:lastModifiedBy>Діна Серебрянська</cp:lastModifiedBy>
  <cp:revision>2</cp:revision>
  <cp:lastPrinted>2020-04-10T13:41:00Z</cp:lastPrinted>
  <dcterms:created xsi:type="dcterms:W3CDTF">2020-04-15T08:05:00Z</dcterms:created>
  <dcterms:modified xsi:type="dcterms:W3CDTF">2020-04-15T08:05:00Z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