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1A6" w:rsidRPr="008C61A6" w:rsidRDefault="00AE30F9" w:rsidP="004114AB">
      <w:pPr>
        <w:pStyle w:val="BasicParagraph"/>
        <w:jc w:val="center"/>
        <w:rPr>
          <w:rFonts w:ascii="Times New Roman" w:hAnsi="Times New Roman" w:cs="Times New Roman"/>
          <w:b/>
          <w:color w:val="auto"/>
          <w:sz w:val="28"/>
          <w:szCs w:val="28"/>
          <w:lang w:val="uk-UA"/>
        </w:rPr>
      </w:pPr>
      <w:r w:rsidRPr="008C61A6">
        <w:rPr>
          <w:rFonts w:ascii="Times New Roman" w:hAnsi="Times New Roman" w:cs="Times New Roman"/>
          <w:b/>
          <w:color w:val="auto"/>
          <w:sz w:val="28"/>
          <w:szCs w:val="28"/>
          <w:lang w:val="uk-UA"/>
        </w:rPr>
        <w:t>Проблемні питання органів місцевого самоврядування</w:t>
      </w:r>
      <w:r w:rsidR="003E6379" w:rsidRPr="008C61A6">
        <w:rPr>
          <w:rFonts w:ascii="Times New Roman" w:hAnsi="Times New Roman" w:cs="Times New Roman"/>
          <w:b/>
          <w:color w:val="auto"/>
          <w:sz w:val="28"/>
          <w:szCs w:val="28"/>
          <w:lang w:val="uk-UA"/>
        </w:rPr>
        <w:t xml:space="preserve"> </w:t>
      </w:r>
      <w:r w:rsidRPr="008C61A6">
        <w:rPr>
          <w:rFonts w:ascii="Times New Roman" w:hAnsi="Times New Roman" w:cs="Times New Roman"/>
          <w:b/>
          <w:color w:val="auto"/>
          <w:sz w:val="28"/>
          <w:szCs w:val="28"/>
          <w:lang w:val="uk-UA"/>
        </w:rPr>
        <w:t>та пропозиції щодо їх вирішення у сфері житлово-комунального господарства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75"/>
        <w:gridCol w:w="4725"/>
        <w:gridCol w:w="4725"/>
        <w:gridCol w:w="4725"/>
      </w:tblGrid>
      <w:tr w:rsidR="008C61A6" w:rsidRPr="004114AB" w:rsidTr="004114AB">
        <w:trPr>
          <w:trHeight w:val="557"/>
          <w:tblHeader/>
        </w:trPr>
        <w:tc>
          <w:tcPr>
            <w:tcW w:w="675" w:type="dxa"/>
            <w:vAlign w:val="center"/>
          </w:tcPr>
          <w:p w:rsidR="008C61A6" w:rsidRPr="004114AB" w:rsidRDefault="008C61A6" w:rsidP="004114AB">
            <w:pPr>
              <w:spacing w:after="0" w:line="240" w:lineRule="auto"/>
              <w:jc w:val="center"/>
              <w:rPr>
                <w:rFonts w:ascii="Times New Roman" w:hAnsi="Times New Roman"/>
                <w:b/>
                <w:sz w:val="24"/>
                <w:szCs w:val="24"/>
                <w:lang w:val="uk-UA"/>
              </w:rPr>
            </w:pPr>
            <w:r w:rsidRPr="004114AB">
              <w:rPr>
                <w:rFonts w:ascii="Times New Roman" w:hAnsi="Times New Roman"/>
                <w:b/>
                <w:sz w:val="24"/>
                <w:szCs w:val="24"/>
                <w:lang w:val="uk-UA"/>
              </w:rPr>
              <w:t>№</w:t>
            </w:r>
          </w:p>
        </w:tc>
        <w:tc>
          <w:tcPr>
            <w:tcW w:w="4725" w:type="dxa"/>
            <w:vAlign w:val="center"/>
          </w:tcPr>
          <w:p w:rsidR="008C61A6" w:rsidRPr="004114AB" w:rsidRDefault="008C61A6" w:rsidP="004114AB">
            <w:pPr>
              <w:spacing w:after="0" w:line="240" w:lineRule="auto"/>
              <w:jc w:val="center"/>
              <w:rPr>
                <w:rFonts w:ascii="Times New Roman" w:hAnsi="Times New Roman"/>
                <w:b/>
                <w:sz w:val="24"/>
                <w:szCs w:val="24"/>
                <w:lang w:val="uk-UA"/>
              </w:rPr>
            </w:pPr>
            <w:r w:rsidRPr="004114AB">
              <w:rPr>
                <w:rFonts w:ascii="Times New Roman" w:hAnsi="Times New Roman"/>
                <w:b/>
                <w:sz w:val="24"/>
                <w:szCs w:val="24"/>
                <w:lang w:val="uk-UA"/>
              </w:rPr>
              <w:t>Суть проблеми</w:t>
            </w:r>
          </w:p>
        </w:tc>
        <w:tc>
          <w:tcPr>
            <w:tcW w:w="4725" w:type="dxa"/>
            <w:vAlign w:val="center"/>
          </w:tcPr>
          <w:p w:rsidR="008C61A6" w:rsidRPr="004114AB" w:rsidRDefault="008C61A6" w:rsidP="004114AB">
            <w:pPr>
              <w:spacing w:after="0" w:line="240" w:lineRule="auto"/>
              <w:jc w:val="center"/>
              <w:rPr>
                <w:rFonts w:ascii="Times New Roman" w:hAnsi="Times New Roman"/>
                <w:b/>
                <w:sz w:val="24"/>
                <w:szCs w:val="24"/>
                <w:lang w:val="uk-UA"/>
              </w:rPr>
            </w:pPr>
            <w:r w:rsidRPr="004114AB">
              <w:rPr>
                <w:rFonts w:ascii="Times New Roman" w:hAnsi="Times New Roman"/>
                <w:b/>
                <w:sz w:val="24"/>
                <w:szCs w:val="24"/>
                <w:lang w:val="uk-UA"/>
              </w:rPr>
              <w:t>Пропозиції щодо вирішення</w:t>
            </w:r>
          </w:p>
        </w:tc>
        <w:tc>
          <w:tcPr>
            <w:tcW w:w="4725" w:type="dxa"/>
            <w:vAlign w:val="center"/>
          </w:tcPr>
          <w:p w:rsidR="008C61A6" w:rsidRPr="004114AB" w:rsidRDefault="008C61A6" w:rsidP="004114AB">
            <w:pPr>
              <w:spacing w:after="0" w:line="240" w:lineRule="auto"/>
              <w:jc w:val="center"/>
              <w:rPr>
                <w:rFonts w:ascii="Times New Roman" w:hAnsi="Times New Roman"/>
                <w:b/>
                <w:sz w:val="24"/>
                <w:szCs w:val="24"/>
                <w:lang w:val="uk-UA"/>
              </w:rPr>
            </w:pPr>
            <w:r w:rsidRPr="004114AB">
              <w:rPr>
                <w:rFonts w:ascii="Times New Roman" w:hAnsi="Times New Roman"/>
                <w:b/>
                <w:sz w:val="24"/>
                <w:szCs w:val="24"/>
                <w:lang w:val="uk-UA"/>
              </w:rPr>
              <w:t>Суб’єкт внесення пропозиції</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spacing w:after="0" w:line="240" w:lineRule="auto"/>
              <w:ind w:left="34" w:right="34"/>
              <w:jc w:val="both"/>
              <w:rPr>
                <w:rFonts w:ascii="Times New Roman" w:hAnsi="Times New Roman"/>
                <w:sz w:val="24"/>
                <w:szCs w:val="24"/>
                <w:lang w:val="uk-UA"/>
              </w:rPr>
            </w:pPr>
            <w:r w:rsidRPr="004114AB">
              <w:rPr>
                <w:rFonts w:ascii="Times New Roman" w:hAnsi="Times New Roman"/>
                <w:sz w:val="24"/>
                <w:szCs w:val="24"/>
                <w:lang w:val="uk-UA"/>
              </w:rPr>
              <w:t>Відсутність нормативного врегулювання питання оформлення земельних ділянок під багатоквартирними житловими будинками</w:t>
            </w:r>
          </w:p>
        </w:tc>
        <w:tc>
          <w:tcPr>
            <w:tcW w:w="4725" w:type="dxa"/>
          </w:tcPr>
          <w:p w:rsidR="008C61A6" w:rsidRPr="004114AB" w:rsidRDefault="008C61A6" w:rsidP="004114AB">
            <w:pPr>
              <w:spacing w:after="0" w:line="240" w:lineRule="auto"/>
              <w:ind w:left="34" w:right="34"/>
              <w:jc w:val="both"/>
              <w:rPr>
                <w:rFonts w:ascii="Times New Roman" w:hAnsi="Times New Roman"/>
                <w:sz w:val="24"/>
                <w:szCs w:val="24"/>
                <w:lang w:val="uk-UA"/>
              </w:rPr>
            </w:pPr>
            <w:r w:rsidRPr="004114AB">
              <w:rPr>
                <w:rFonts w:ascii="Times New Roman" w:hAnsi="Times New Roman"/>
                <w:sz w:val="24"/>
                <w:szCs w:val="24"/>
                <w:lang w:val="uk-UA"/>
              </w:rPr>
              <w:t>Визначена частиною 2 статті 42 Земельного кодексу України норма з 2015 року передбачає окремий порядок, затверджений Постановою Кабінету Міністрів України. До теперішнього часу порядок не прийнятий.</w:t>
            </w:r>
          </w:p>
          <w:p w:rsidR="008C61A6" w:rsidRPr="004114AB" w:rsidRDefault="008C61A6" w:rsidP="004114AB">
            <w:pPr>
              <w:shd w:val="clear" w:color="auto" w:fill="FFFFFF"/>
              <w:spacing w:after="0" w:line="240" w:lineRule="auto"/>
              <w:ind w:left="34" w:right="34"/>
              <w:jc w:val="both"/>
              <w:textAlignment w:val="baseline"/>
              <w:rPr>
                <w:rFonts w:ascii="Times New Roman" w:hAnsi="Times New Roman"/>
                <w:sz w:val="24"/>
                <w:szCs w:val="24"/>
                <w:lang w:val="uk-UA"/>
              </w:rPr>
            </w:pPr>
            <w:r w:rsidRPr="004114AB">
              <w:rPr>
                <w:rFonts w:ascii="Times New Roman" w:hAnsi="Times New Roman"/>
                <w:sz w:val="24"/>
                <w:szCs w:val="24"/>
                <w:lang w:val="uk-UA"/>
              </w:rPr>
              <w:t xml:space="preserve">Прискорення розроблення і затвердження запланованих Законом України «Про особливості здійснення права власності у багатоквартирному будинку» нормативно-правових актів: </w:t>
            </w:r>
          </w:p>
          <w:p w:rsidR="008C61A6" w:rsidRPr="004114AB" w:rsidRDefault="008C61A6" w:rsidP="004114AB">
            <w:pPr>
              <w:pStyle w:val="a3"/>
              <w:numPr>
                <w:ilvl w:val="0"/>
                <w:numId w:val="5"/>
              </w:numPr>
              <w:shd w:val="clear" w:color="auto" w:fill="FFFFFF"/>
              <w:tabs>
                <w:tab w:val="left" w:pos="317"/>
              </w:tabs>
              <w:spacing w:after="0" w:line="240" w:lineRule="auto"/>
              <w:ind w:left="34" w:right="34" w:firstLine="34"/>
              <w:jc w:val="both"/>
              <w:textAlignment w:val="baseline"/>
              <w:rPr>
                <w:rFonts w:ascii="Times New Roman" w:eastAsia="Times New Roman" w:hAnsi="Times New Roman"/>
                <w:sz w:val="24"/>
                <w:szCs w:val="24"/>
              </w:rPr>
            </w:pPr>
            <w:r w:rsidRPr="004114AB">
              <w:rPr>
                <w:rFonts w:ascii="Times New Roman" w:eastAsia="Times New Roman" w:hAnsi="Times New Roman"/>
                <w:sz w:val="24"/>
                <w:szCs w:val="24"/>
              </w:rPr>
              <w:t>Порядок передачі земельних ділянок співвласникам спільного майна багатоквартирних будинків;</w:t>
            </w:r>
          </w:p>
          <w:p w:rsidR="008C61A6" w:rsidRPr="004114AB" w:rsidRDefault="008C61A6" w:rsidP="004114AB">
            <w:pPr>
              <w:pStyle w:val="a3"/>
              <w:numPr>
                <w:ilvl w:val="0"/>
                <w:numId w:val="5"/>
              </w:numPr>
              <w:shd w:val="clear" w:color="auto" w:fill="FFFFFF"/>
              <w:tabs>
                <w:tab w:val="left" w:pos="317"/>
              </w:tabs>
              <w:spacing w:after="0" w:line="240" w:lineRule="auto"/>
              <w:ind w:left="34" w:right="34" w:firstLine="34"/>
              <w:jc w:val="both"/>
              <w:textAlignment w:val="baseline"/>
              <w:rPr>
                <w:rFonts w:ascii="Times New Roman" w:eastAsia="Times New Roman" w:hAnsi="Times New Roman"/>
                <w:sz w:val="24"/>
                <w:szCs w:val="24"/>
              </w:rPr>
            </w:pPr>
            <w:r w:rsidRPr="004114AB">
              <w:rPr>
                <w:rFonts w:ascii="Times New Roman" w:eastAsia="Times New Roman" w:hAnsi="Times New Roman"/>
                <w:sz w:val="24"/>
                <w:szCs w:val="24"/>
              </w:rPr>
              <w:t>Порядок державної реєстрації за співвласниками спільного майна багатоквартирного будинку прав на земельні ділянки і перереєстрації земельних ділянок від ОСББ на співвласників;</w:t>
            </w:r>
          </w:p>
          <w:p w:rsidR="008C61A6" w:rsidRPr="004114AB" w:rsidRDefault="008C61A6" w:rsidP="004114AB">
            <w:pPr>
              <w:pStyle w:val="a3"/>
              <w:numPr>
                <w:ilvl w:val="0"/>
                <w:numId w:val="5"/>
              </w:numPr>
              <w:shd w:val="clear" w:color="auto" w:fill="FFFFFF"/>
              <w:tabs>
                <w:tab w:val="left" w:pos="317"/>
              </w:tabs>
              <w:spacing w:after="0" w:line="240" w:lineRule="auto"/>
              <w:ind w:left="34" w:right="34" w:firstLine="34"/>
              <w:jc w:val="both"/>
              <w:textAlignment w:val="baseline"/>
              <w:rPr>
                <w:rFonts w:ascii="Times New Roman" w:eastAsia="Times New Roman" w:hAnsi="Times New Roman"/>
                <w:sz w:val="24"/>
                <w:szCs w:val="24"/>
              </w:rPr>
            </w:pPr>
            <w:r w:rsidRPr="004114AB">
              <w:rPr>
                <w:rFonts w:ascii="Times New Roman" w:eastAsia="Times New Roman" w:hAnsi="Times New Roman"/>
                <w:sz w:val="24"/>
                <w:szCs w:val="24"/>
              </w:rPr>
              <w:t>Порядок визначення меж прибудинкової території багатоквартирного будинку;</w:t>
            </w:r>
          </w:p>
          <w:p w:rsidR="008C61A6" w:rsidRPr="004114AB" w:rsidRDefault="008C61A6" w:rsidP="004114AB">
            <w:pPr>
              <w:pStyle w:val="a3"/>
              <w:numPr>
                <w:ilvl w:val="0"/>
                <w:numId w:val="5"/>
              </w:numPr>
              <w:tabs>
                <w:tab w:val="left" w:pos="317"/>
              </w:tabs>
              <w:spacing w:after="0" w:line="240" w:lineRule="auto"/>
              <w:ind w:left="34" w:right="34" w:firstLine="34"/>
              <w:jc w:val="both"/>
              <w:rPr>
                <w:rFonts w:ascii="Times New Roman" w:eastAsia="Times New Roman" w:hAnsi="Times New Roman"/>
                <w:sz w:val="24"/>
                <w:szCs w:val="24"/>
              </w:rPr>
            </w:pPr>
            <w:r w:rsidRPr="004114AB">
              <w:rPr>
                <w:rFonts w:ascii="Times New Roman" w:eastAsia="Times New Roman" w:hAnsi="Times New Roman"/>
                <w:sz w:val="24"/>
                <w:szCs w:val="24"/>
              </w:rPr>
              <w:t>Порядок встановлення обмежень (обтяжень) щодо земельної ділянки, виділеної під багатоквартирний будинок.</w:t>
            </w:r>
          </w:p>
          <w:p w:rsidR="008C61A6" w:rsidRPr="004114AB" w:rsidRDefault="008C61A6" w:rsidP="004114AB">
            <w:pPr>
              <w:spacing w:after="0" w:line="240" w:lineRule="auto"/>
              <w:ind w:left="34" w:right="34"/>
              <w:jc w:val="both"/>
              <w:rPr>
                <w:rFonts w:ascii="Times New Roman" w:hAnsi="Times New Roman"/>
                <w:sz w:val="24"/>
                <w:szCs w:val="24"/>
                <w:lang w:val="uk-UA"/>
              </w:rPr>
            </w:pPr>
          </w:p>
        </w:tc>
        <w:tc>
          <w:tcPr>
            <w:tcW w:w="4725" w:type="dxa"/>
          </w:tcPr>
          <w:p w:rsidR="008C61A6" w:rsidRPr="004114AB" w:rsidRDefault="008C61A6" w:rsidP="004114AB">
            <w:pPr>
              <w:spacing w:after="0" w:line="240" w:lineRule="auto"/>
              <w:ind w:left="34" w:right="112"/>
              <w:jc w:val="both"/>
              <w:rPr>
                <w:rFonts w:ascii="Times New Roman" w:hAnsi="Times New Roman"/>
                <w:sz w:val="24"/>
                <w:szCs w:val="24"/>
                <w:lang w:val="uk-UA"/>
              </w:rPr>
            </w:pPr>
            <w:r w:rsidRPr="004114AB">
              <w:rPr>
                <w:rFonts w:ascii="Times New Roman" w:hAnsi="Times New Roman"/>
                <w:sz w:val="24"/>
                <w:szCs w:val="24"/>
                <w:lang w:val="uk-UA"/>
              </w:rPr>
              <w:t xml:space="preserve">Житомир, Болград, Варва, Володимир-Волинський, Гуляйполе, Дубно, Жидачів, Мукачево, Павлоград, Полтава, Славута, Вінниця, </w:t>
            </w:r>
            <w:bookmarkStart w:id="0" w:name="_GoBack"/>
            <w:bookmarkEnd w:id="0"/>
            <w:r w:rsidRPr="004114AB">
              <w:rPr>
                <w:rFonts w:ascii="Times New Roman" w:hAnsi="Times New Roman"/>
                <w:sz w:val="24"/>
                <w:szCs w:val="24"/>
                <w:lang w:val="uk-UA"/>
              </w:rPr>
              <w:t>Славутич, Южноукраїнськ</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pStyle w:val="a6"/>
              <w:spacing w:after="100" w:afterAutospacing="1"/>
              <w:ind w:firstLine="0"/>
              <w:jc w:val="both"/>
              <w:rPr>
                <w:sz w:val="24"/>
              </w:rPr>
            </w:pPr>
            <w:r w:rsidRPr="004114AB">
              <w:rPr>
                <w:sz w:val="24"/>
              </w:rPr>
              <w:t xml:space="preserve">Неефективність регулювання НКРЕКП комунальних підприємств теплопостачання та водопостачання. Комунальні підприємства – ліцензіати НКРЕКП </w:t>
            </w:r>
            <w:r w:rsidRPr="004114AB">
              <w:rPr>
                <w:sz w:val="24"/>
              </w:rPr>
              <w:lastRenderedPageBreak/>
              <w:t xml:space="preserve">перебувають у незадовільному фінансово-економічному стані. </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lastRenderedPageBreak/>
              <w:t xml:space="preserve">Внести зміни до діючого законодавства України, якими органам місцевого самоврядування будуть передані повноваження з встановлення тарифів всім </w:t>
            </w:r>
            <w:r w:rsidRPr="004114AB">
              <w:rPr>
                <w:rFonts w:ascii="Times New Roman" w:hAnsi="Times New Roman"/>
                <w:sz w:val="24"/>
                <w:szCs w:val="24"/>
                <w:lang w:val="uk-UA"/>
              </w:rPr>
              <w:lastRenderedPageBreak/>
              <w:t>надавачам комунальних послуг (законопроект 9424 від 19.12.2018)</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lastRenderedPageBreak/>
              <w:t xml:space="preserve">Житомир, Кам‘янське, Павлоград, Тернопіль, Енергодар, Черкаси, Миколаїв, Бровари, Одеса </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tabs>
                <w:tab w:val="left" w:pos="851"/>
              </w:tabs>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Неможливість застосування Закону України «Про житлово-комунальні послуги» у повному обсязі внаслідок відсутності прийнятої підзаконної нормативно-правової бази</w:t>
            </w:r>
          </w:p>
        </w:tc>
        <w:tc>
          <w:tcPr>
            <w:tcW w:w="4725" w:type="dxa"/>
          </w:tcPr>
          <w:p w:rsidR="008C61A6" w:rsidRPr="004114AB" w:rsidRDefault="008C61A6" w:rsidP="004114AB">
            <w:pPr>
              <w:tabs>
                <w:tab w:val="left" w:pos="1553"/>
              </w:tabs>
              <w:spacing w:after="100" w:afterAutospacing="1" w:line="240" w:lineRule="auto"/>
              <w:jc w:val="both"/>
              <w:rPr>
                <w:rFonts w:ascii="Times New Roman" w:hAnsi="Times New Roman"/>
                <w:sz w:val="24"/>
                <w:szCs w:val="24"/>
                <w:lang w:val="uk-UA"/>
              </w:rPr>
            </w:pPr>
            <w:r w:rsidRPr="004114AB">
              <w:rPr>
                <w:rFonts w:ascii="Times New Roman" w:hAnsi="Times New Roman"/>
                <w:sz w:val="24"/>
                <w:szCs w:val="24"/>
                <w:lang w:val="uk-UA"/>
              </w:rPr>
              <w:t>Забезпечити прийняття усіх підзаконних нормативно-правових актів до Закону України «Про житлово-комунальні послуги»</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Житомир, Вінниця, Коростишів, Миргород, Генічеськ, Зеленодольськ, Кропивницький, Львів, Миргород, Павлоград, Суми, Харків, Южноукраїнськ, Херсон, Коростень, Новоград-Волинський, Южне, Черкаси, </w:t>
            </w:r>
          </w:p>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Жмеринка, Одеса</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tabs>
                <w:tab w:val="left" w:pos="851"/>
              </w:tabs>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Непогашена державою заборгованість з різниці в тарифах погіршує фінансово-економічний стан підприємств тепло- та водопостачання, і не дає можливість своєчасно розраховуватися за енергоносії, що в свою чергу призводить до нарахування додаткових штрафних санкцій</w:t>
            </w:r>
          </w:p>
        </w:tc>
        <w:tc>
          <w:tcPr>
            <w:tcW w:w="4725" w:type="dxa"/>
          </w:tcPr>
          <w:p w:rsidR="008C61A6" w:rsidRPr="004114AB" w:rsidRDefault="008C61A6" w:rsidP="004114AB">
            <w:pPr>
              <w:tabs>
                <w:tab w:val="left" w:pos="1553"/>
              </w:tabs>
              <w:spacing w:after="100" w:afterAutospacing="1" w:line="240" w:lineRule="auto"/>
              <w:jc w:val="both"/>
              <w:rPr>
                <w:rFonts w:ascii="Times New Roman" w:hAnsi="Times New Roman"/>
                <w:sz w:val="24"/>
                <w:szCs w:val="24"/>
                <w:lang w:val="uk-UA"/>
              </w:rPr>
            </w:pPr>
            <w:r w:rsidRPr="004114AB">
              <w:rPr>
                <w:rFonts w:ascii="Times New Roman" w:hAnsi="Times New Roman"/>
                <w:sz w:val="24"/>
                <w:szCs w:val="24"/>
                <w:lang w:val="uk-UA"/>
              </w:rPr>
              <w:t>Внести зміни до Державного бюджету України на 2019 рік, передбачивши кошти для  погашення визнаної державою заборгованості.  Внести зміни до Закону України від 03.11.2016р. №1730-УІІІ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за спожиті енергоносії», якими визначити механізм погашення заборгованості в тарифах, що утворилась протягом 2016 - 2019 років</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Житомир, Дубно, Кам’янець-Подільський, Миколаїв, Одеса, Бориспіль, Кам’янське, Каховка, Лисичанськ, Рубіжне, Малинівка, Нововолинськ, Славута, Суми, Харків, Вінниця, Здолбунів, </w:t>
            </w:r>
          </w:p>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Вінниця, Вараш, Запоріжжя, Кам’янець-Подільський, Лисичанськ, Нова Каховка, Новоград-Волинський,  Славутич, Черкаси, Кременчук, Маріуполь</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pStyle w:val="rvps6"/>
              <w:spacing w:before="0" w:beforeAutospacing="0" w:after="0" w:afterAutospacing="0"/>
              <w:jc w:val="both"/>
              <w:rPr>
                <w:lang w:val="uk-UA"/>
              </w:rPr>
            </w:pPr>
            <w:r w:rsidRPr="004114AB">
              <w:rPr>
                <w:lang w:val="uk-UA"/>
              </w:rPr>
              <w:t>У місцевих бюджетах та комунальних підприємств відсутні в достатньому обсязі кошти для встановлення 100% -го будинкового обліку наданих послуг відповідно до вимог Закону України «Про комерційний  облік теплової енергії та водопостачання»</w:t>
            </w:r>
          </w:p>
        </w:tc>
        <w:tc>
          <w:tcPr>
            <w:tcW w:w="4725" w:type="dxa"/>
          </w:tcPr>
          <w:p w:rsidR="008C61A6" w:rsidRPr="004114AB" w:rsidRDefault="008C61A6" w:rsidP="004114AB">
            <w:pPr>
              <w:pStyle w:val="rvps6"/>
              <w:spacing w:before="0" w:beforeAutospacing="0" w:after="0" w:afterAutospacing="0"/>
              <w:jc w:val="both"/>
              <w:rPr>
                <w:lang w:val="uk-UA"/>
              </w:rPr>
            </w:pPr>
            <w:r w:rsidRPr="004114AB">
              <w:rPr>
                <w:lang w:val="uk-UA"/>
              </w:rPr>
              <w:t>Передбачити в державному бюджеті на 2019 рік кошти для забезпечення  на умовах співфінансування з місцевих бюджетів обладнання багатоквартирних будинків приладами комерційного обліку. Відтермінувати штрафні санкції</w:t>
            </w:r>
          </w:p>
        </w:tc>
        <w:tc>
          <w:tcPr>
            <w:tcW w:w="4725" w:type="dxa"/>
          </w:tcPr>
          <w:p w:rsidR="008C61A6" w:rsidRPr="004114AB" w:rsidRDefault="008C61A6" w:rsidP="004114AB">
            <w:pPr>
              <w:pStyle w:val="rvps6"/>
              <w:spacing w:before="0" w:beforeAutospacing="0" w:after="0" w:afterAutospacing="0"/>
              <w:jc w:val="both"/>
              <w:rPr>
                <w:lang w:val="uk-UA"/>
              </w:rPr>
            </w:pPr>
            <w:r w:rsidRPr="004114AB">
              <w:rPr>
                <w:lang w:val="uk-UA"/>
              </w:rPr>
              <w:t>Житомир, Луцьк, Прилуки, Запоріжжя, Кам’янське</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Значна заборгованість населення за спожиті житлово-комунальні послуги, що призводить до суттєвого погіршення фінансового становища комунальних </w:t>
            </w:r>
            <w:r w:rsidRPr="004114AB">
              <w:rPr>
                <w:rFonts w:ascii="Times New Roman" w:hAnsi="Times New Roman"/>
                <w:sz w:val="24"/>
                <w:szCs w:val="24"/>
                <w:lang w:val="uk-UA"/>
              </w:rPr>
              <w:lastRenderedPageBreak/>
              <w:t>підприємств.</w:t>
            </w:r>
          </w:p>
          <w:p w:rsidR="008C61A6" w:rsidRPr="004114AB" w:rsidRDefault="008C61A6" w:rsidP="004114AB">
            <w:pPr>
              <w:tabs>
                <w:tab w:val="left" w:pos="1553"/>
              </w:tabs>
              <w:spacing w:after="100" w:afterAutospacing="1" w:line="240" w:lineRule="auto"/>
              <w:jc w:val="both"/>
              <w:rPr>
                <w:rFonts w:ascii="Times New Roman" w:hAnsi="Times New Roman"/>
                <w:sz w:val="24"/>
                <w:szCs w:val="24"/>
                <w:lang w:val="uk-UA"/>
              </w:rPr>
            </w:pPr>
            <w:r w:rsidRPr="004114AB">
              <w:rPr>
                <w:rFonts w:ascii="Times New Roman" w:hAnsi="Times New Roman"/>
                <w:sz w:val="24"/>
                <w:szCs w:val="24"/>
                <w:lang w:val="uk-UA"/>
              </w:rPr>
              <w:t>Стягнення боргів споживачів житлово-комунальних послуг виконавчою службою за рішенням судів відбувається неефективно.</w:t>
            </w:r>
          </w:p>
          <w:p w:rsidR="008C61A6" w:rsidRPr="004114AB" w:rsidRDefault="008C61A6" w:rsidP="004114AB">
            <w:pPr>
              <w:tabs>
                <w:tab w:val="left" w:pos="1553"/>
              </w:tabs>
              <w:spacing w:after="100" w:afterAutospacing="1" w:line="240" w:lineRule="auto"/>
              <w:jc w:val="both"/>
              <w:rPr>
                <w:rFonts w:ascii="Times New Roman" w:hAnsi="Times New Roman"/>
                <w:sz w:val="24"/>
                <w:szCs w:val="24"/>
                <w:lang w:val="uk-UA"/>
              </w:rPr>
            </w:pPr>
            <w:r w:rsidRPr="004114AB">
              <w:rPr>
                <w:rFonts w:ascii="Times New Roman" w:hAnsi="Times New Roman"/>
                <w:sz w:val="24"/>
                <w:szCs w:val="24"/>
                <w:lang w:val="uk-UA"/>
              </w:rPr>
              <w:t>Відсутність коштів на сплату судового збору для подання позовної заяви для стягнення заборгованості за житлово-комунальні послуги та авансового внеску для виконання судового рішення, тривалий та неефективний механізм стягнення коштів призводить до відмови надавачів житлово-комунальних послуг від стягнення коштів у судовому порядку</w:t>
            </w:r>
          </w:p>
        </w:tc>
        <w:tc>
          <w:tcPr>
            <w:tcW w:w="4725" w:type="dxa"/>
          </w:tcPr>
          <w:p w:rsidR="008C61A6" w:rsidRPr="004114AB" w:rsidRDefault="008C61A6" w:rsidP="004114AB">
            <w:pPr>
              <w:tabs>
                <w:tab w:val="left" w:pos="1553"/>
              </w:tabs>
              <w:spacing w:after="100" w:afterAutospacing="1" w:line="240" w:lineRule="auto"/>
              <w:jc w:val="both"/>
              <w:rPr>
                <w:rFonts w:ascii="Times New Roman" w:hAnsi="Times New Roman"/>
                <w:sz w:val="24"/>
                <w:szCs w:val="24"/>
                <w:lang w:val="uk-UA"/>
              </w:rPr>
            </w:pPr>
            <w:r w:rsidRPr="004114AB">
              <w:rPr>
                <w:rFonts w:ascii="Times New Roman" w:hAnsi="Times New Roman"/>
                <w:sz w:val="24"/>
                <w:szCs w:val="24"/>
                <w:lang w:val="uk-UA"/>
              </w:rPr>
              <w:lastRenderedPageBreak/>
              <w:t xml:space="preserve">Посилити відповідальність виконавчої служби за невиконання судових рішень про стягнення заборгованості. Забезпечити більш ефективний контроль за її </w:t>
            </w:r>
            <w:r w:rsidRPr="004114AB">
              <w:rPr>
                <w:rFonts w:ascii="Times New Roman" w:hAnsi="Times New Roman"/>
                <w:sz w:val="24"/>
                <w:szCs w:val="24"/>
                <w:lang w:val="uk-UA"/>
              </w:rPr>
              <w:lastRenderedPageBreak/>
              <w:t>діяльністю.</w:t>
            </w:r>
          </w:p>
          <w:p w:rsidR="008C61A6" w:rsidRPr="004114AB" w:rsidRDefault="008C61A6" w:rsidP="004114AB">
            <w:pPr>
              <w:tabs>
                <w:tab w:val="left" w:pos="1553"/>
              </w:tabs>
              <w:spacing w:after="100" w:afterAutospacing="1"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Звільнити надавачів житлово-комунальних послуг від сплати судового збору та авансового внеску при подачі позовних заяв до суду та документів про стягнення до органів державної виконавчої служби </w:t>
            </w:r>
          </w:p>
          <w:p w:rsidR="008C61A6" w:rsidRPr="004114AB" w:rsidRDefault="008C61A6" w:rsidP="004114AB">
            <w:pPr>
              <w:tabs>
                <w:tab w:val="left" w:pos="1553"/>
              </w:tabs>
              <w:spacing w:after="100" w:afterAutospacing="1" w:line="240" w:lineRule="auto"/>
              <w:jc w:val="both"/>
              <w:rPr>
                <w:rFonts w:ascii="Times New Roman" w:hAnsi="Times New Roman"/>
                <w:sz w:val="24"/>
                <w:szCs w:val="24"/>
                <w:lang w:val="uk-UA"/>
              </w:rPr>
            </w:pPr>
            <w:r w:rsidRPr="004114AB">
              <w:rPr>
                <w:rFonts w:ascii="Times New Roman" w:hAnsi="Times New Roman"/>
                <w:sz w:val="24"/>
                <w:szCs w:val="24"/>
                <w:lang w:val="uk-UA"/>
              </w:rPr>
              <w:t>Внести зміни до Закону України «Про нотаріат» та підзаконних актів, передбачивши обов’язок нотаріуса для укладання договорів купівлі-продажу нерухомого майна вимагати довідку про відсутність заборгованості за житлово-комунальні послуги</w:t>
            </w:r>
          </w:p>
          <w:p w:rsidR="008C61A6" w:rsidRPr="004114AB" w:rsidRDefault="008C61A6" w:rsidP="004114AB">
            <w:pPr>
              <w:tabs>
                <w:tab w:val="left" w:pos="1553"/>
              </w:tabs>
              <w:spacing w:after="100" w:afterAutospacing="1" w:line="240" w:lineRule="auto"/>
              <w:jc w:val="both"/>
              <w:rPr>
                <w:rFonts w:ascii="Times New Roman" w:hAnsi="Times New Roman"/>
                <w:sz w:val="24"/>
                <w:szCs w:val="24"/>
                <w:lang w:val="uk-UA"/>
              </w:rPr>
            </w:pP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lastRenderedPageBreak/>
              <w:t xml:space="preserve">Житомир, Кам’янське, Черкаси, Житомир, Кременчук, Кривий Ріг,  Маріуполь, Бердянськ, Рівне,  Харків, Южне, Вінниця,  Первомайськ, Бровари, Городня, </w:t>
            </w:r>
            <w:r w:rsidRPr="004114AB">
              <w:rPr>
                <w:rFonts w:ascii="Times New Roman" w:hAnsi="Times New Roman"/>
                <w:sz w:val="24"/>
                <w:szCs w:val="24"/>
                <w:lang w:val="uk-UA"/>
              </w:rPr>
              <w:lastRenderedPageBreak/>
              <w:t>Гуляйполе, Новоград-Волинський, Яготин</w:t>
            </w:r>
          </w:p>
          <w:p w:rsidR="008C61A6" w:rsidRPr="004114AB" w:rsidRDefault="008C61A6" w:rsidP="004114AB">
            <w:pPr>
              <w:spacing w:after="0" w:line="240" w:lineRule="auto"/>
              <w:ind w:left="34" w:right="112"/>
              <w:jc w:val="both"/>
              <w:rPr>
                <w:rFonts w:ascii="Times New Roman" w:hAnsi="Times New Roman"/>
                <w:sz w:val="24"/>
                <w:szCs w:val="24"/>
                <w:lang w:val="uk-UA"/>
              </w:rPr>
            </w:pPr>
            <w:r w:rsidRPr="004114AB">
              <w:rPr>
                <w:rFonts w:ascii="Times New Roman" w:hAnsi="Times New Roman"/>
                <w:sz w:val="24"/>
                <w:szCs w:val="24"/>
                <w:lang w:val="uk-UA"/>
              </w:rPr>
              <w:t>Гуляйполе, Дергачі, Коростень, Черкаси, Южноукраїнськ</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eastAsia="Times New Roman" w:hAnsi="Times New Roman"/>
                <w:sz w:val="24"/>
                <w:szCs w:val="24"/>
              </w:rPr>
            </w:pPr>
          </w:p>
        </w:tc>
        <w:tc>
          <w:tcPr>
            <w:tcW w:w="4725" w:type="dxa"/>
          </w:tcPr>
          <w:p w:rsidR="008C61A6" w:rsidRPr="004114AB" w:rsidRDefault="008C61A6" w:rsidP="004114AB">
            <w:pPr>
              <w:tabs>
                <w:tab w:val="left" w:pos="851"/>
              </w:tabs>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Необхідність комплексного удосконалення законодавства у сфері житлово-комунального господарства</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Забезпечити підтримку у Парламенті ухвалення законопроектів № № 7083, 9406, 9406-1, 10228</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Одеса, Кривий Ріг, Тернопіль, Черкаси, Вінниця, Харків, Кременчук, Павлоград, Житомир, Бердянськ, Марауполь, Гола Пристань, Славутич, Коростень, Жмеринка, Канів, Городище, Корсунь-Шевченківський</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tabs>
                <w:tab w:val="left" w:pos="1553"/>
              </w:tabs>
              <w:spacing w:after="100" w:afterAutospacing="1" w:line="240" w:lineRule="auto"/>
              <w:jc w:val="both"/>
              <w:rPr>
                <w:rFonts w:ascii="Times New Roman" w:hAnsi="Times New Roman"/>
                <w:sz w:val="24"/>
                <w:szCs w:val="24"/>
                <w:lang w:val="uk-UA"/>
              </w:rPr>
            </w:pPr>
            <w:r w:rsidRPr="004114AB">
              <w:rPr>
                <w:rFonts w:ascii="Times New Roman" w:hAnsi="Times New Roman"/>
                <w:sz w:val="24"/>
                <w:szCs w:val="24"/>
                <w:lang w:val="uk-UA"/>
              </w:rPr>
              <w:t>Створені завдяки Закону України «Про теплопостачання» та постанові Кабінету Міністрів України від 18 червня 2014 року № 217 спецрахунки не вирішили проблему неплатежів підприємств ТКЕ за природний газ. При цьому вони суттєво ускладнили діяльність таких підприємств, переклавши фінансовий тягар на місцеві бюджети.</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Внести зміни до Закону України «Про теплопостачання», якими скасувати систему рахунків із спеціальним режимом використання</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Одеса, Кам’янське, Харків, Чугуїв, Тернопіль, Херсон, </w:t>
            </w:r>
          </w:p>
          <w:p w:rsidR="008C61A6" w:rsidRPr="004114AB" w:rsidRDefault="008C61A6" w:rsidP="004114AB">
            <w:pPr>
              <w:spacing w:after="0" w:line="240" w:lineRule="auto"/>
              <w:ind w:left="34" w:right="112"/>
              <w:jc w:val="both"/>
              <w:rPr>
                <w:rFonts w:ascii="Times New Roman" w:hAnsi="Times New Roman"/>
                <w:sz w:val="24"/>
                <w:szCs w:val="24"/>
                <w:lang w:val="uk-UA"/>
              </w:rPr>
            </w:pPr>
            <w:r w:rsidRPr="004114AB">
              <w:rPr>
                <w:rFonts w:ascii="Times New Roman" w:hAnsi="Times New Roman"/>
                <w:sz w:val="24"/>
                <w:szCs w:val="24"/>
                <w:lang w:val="uk-UA"/>
              </w:rPr>
              <w:t>Бердянськ, Вінниця, Нововолинськ, Чернівці</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tabs>
                <w:tab w:val="left" w:pos="851"/>
              </w:tabs>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Руйнація дорожнього покриття вулиць і доріг населених пунктів  великоваговим </w:t>
            </w:r>
            <w:r w:rsidRPr="004114AB">
              <w:rPr>
                <w:rFonts w:ascii="Times New Roman" w:hAnsi="Times New Roman"/>
                <w:sz w:val="24"/>
                <w:szCs w:val="24"/>
                <w:lang w:val="uk-UA"/>
              </w:rPr>
              <w:lastRenderedPageBreak/>
              <w:t>транспортом.</w:t>
            </w:r>
          </w:p>
          <w:p w:rsidR="008C61A6" w:rsidRPr="004114AB" w:rsidRDefault="008C61A6" w:rsidP="004114AB">
            <w:pPr>
              <w:tabs>
                <w:tab w:val="left" w:pos="851"/>
              </w:tabs>
              <w:spacing w:after="0" w:line="240" w:lineRule="auto"/>
              <w:jc w:val="both"/>
              <w:rPr>
                <w:rFonts w:ascii="Times New Roman" w:hAnsi="Times New Roman"/>
                <w:sz w:val="24"/>
                <w:szCs w:val="24"/>
                <w:lang w:val="uk-UA"/>
              </w:rPr>
            </w:pPr>
          </w:p>
        </w:tc>
        <w:tc>
          <w:tcPr>
            <w:tcW w:w="4725" w:type="dxa"/>
          </w:tcPr>
          <w:p w:rsidR="008C61A6" w:rsidRPr="004114AB" w:rsidRDefault="008C61A6" w:rsidP="004114AB">
            <w:pPr>
              <w:pStyle w:val="rvps2"/>
              <w:shd w:val="clear" w:color="auto" w:fill="FFFFFF"/>
              <w:spacing w:before="0" w:beforeAutospacing="0" w:after="0" w:afterAutospacing="0"/>
              <w:contextualSpacing/>
              <w:jc w:val="both"/>
              <w:rPr>
                <w:lang w:val="uk-UA" w:eastAsia="ru-RU"/>
              </w:rPr>
            </w:pPr>
            <w:r w:rsidRPr="004114AB">
              <w:rPr>
                <w:lang w:val="uk-UA" w:eastAsia="ru-RU"/>
              </w:rPr>
              <w:lastRenderedPageBreak/>
              <w:t xml:space="preserve">Розширити повноваження органів місцевого самоврядування шляхом </w:t>
            </w:r>
            <w:r w:rsidRPr="004114AB">
              <w:rPr>
                <w:lang w:val="uk-UA" w:eastAsia="ru-RU"/>
              </w:rPr>
              <w:lastRenderedPageBreak/>
              <w:t xml:space="preserve">внесення відповідних змін до Законів України а також підзаконних актів, щодо встановлення параметрів за навантаженням на вісь та фактичною масою для вулиць та доріг населених пунктів </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lastRenderedPageBreak/>
              <w:t>Харків, Березанка, Радивилів</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pStyle w:val="1"/>
              <w:suppressAutoHyphens/>
              <w:spacing w:after="0" w:line="240" w:lineRule="auto"/>
              <w:ind w:left="0"/>
              <w:jc w:val="both"/>
              <w:rPr>
                <w:rFonts w:ascii="Times New Roman" w:hAnsi="Times New Roman"/>
                <w:sz w:val="24"/>
                <w:szCs w:val="24"/>
                <w:lang w:val="uk-UA" w:eastAsia="ru-RU"/>
              </w:rPr>
            </w:pPr>
            <w:r w:rsidRPr="004114AB">
              <w:rPr>
                <w:rFonts w:ascii="Times New Roman" w:hAnsi="Times New Roman"/>
                <w:sz w:val="24"/>
                <w:szCs w:val="24"/>
                <w:lang w:val="uk-UA" w:eastAsia="ru-RU"/>
              </w:rPr>
              <w:t>У органів місцевого самоврядування відсутній достатній фінансовий ресурс для оновлення сфери житлово-комунального господарства, яку необхідно здійснити як з метою виконання вимог законодавства, так і з метою реалізації енергоефективних заходів. В першу чергу це стосується галузі поводження з відходами, забезпечення комерційного обліку наданих послуг, термомодернізації житлового фонду, встановлення енергоефективного обладнання</w:t>
            </w:r>
          </w:p>
          <w:p w:rsidR="008C61A6" w:rsidRPr="004114AB" w:rsidRDefault="008C61A6" w:rsidP="004114AB">
            <w:pPr>
              <w:spacing w:after="100" w:afterAutospacing="1" w:line="240" w:lineRule="auto"/>
              <w:jc w:val="both"/>
              <w:rPr>
                <w:rFonts w:ascii="Times New Roman" w:hAnsi="Times New Roman"/>
                <w:sz w:val="24"/>
                <w:szCs w:val="24"/>
                <w:lang w:val="uk-UA"/>
              </w:rPr>
            </w:pPr>
          </w:p>
        </w:tc>
        <w:tc>
          <w:tcPr>
            <w:tcW w:w="4725" w:type="dxa"/>
          </w:tcPr>
          <w:p w:rsidR="008C61A6" w:rsidRPr="004114AB" w:rsidRDefault="008C61A6" w:rsidP="004114AB">
            <w:pPr>
              <w:spacing w:after="100" w:afterAutospacing="1" w:line="240" w:lineRule="auto"/>
              <w:jc w:val="both"/>
              <w:rPr>
                <w:rFonts w:ascii="Times New Roman" w:hAnsi="Times New Roman"/>
                <w:sz w:val="24"/>
                <w:szCs w:val="24"/>
                <w:lang w:val="uk-UA"/>
              </w:rPr>
            </w:pPr>
            <w:r w:rsidRPr="004114AB">
              <w:rPr>
                <w:rFonts w:ascii="Times New Roman" w:hAnsi="Times New Roman"/>
                <w:sz w:val="24"/>
                <w:szCs w:val="24"/>
                <w:lang w:val="uk-UA"/>
              </w:rPr>
              <w:t>Передбачити в Державному бюджеті коштів для співфінансування проектів з оновлення сфери житлово-комунального господарства</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Білгород-Дністровський, Болехів, Бориспіль Васильків, Генічеськ, Городня, Кам’янка-Бузька, Каховка, Красилів, Ладижин, Луцьк, Любашівка, Млинів, Могилев-Подільський, Нікополь, Нове, Нова Каховка, Опішня Першотравневськ, Синельникове, Суми, Яремче, Херсон, Вараш, , Миргород, </w:t>
            </w:r>
          </w:p>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Нововолинськ, Павлоград, Первомайський, Прилуки, Сєвєродонецьк, Славутич, Тлумач, Чортків, Кременчук, Умань, Херсон</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tabs>
                <w:tab w:val="left" w:pos="851"/>
              </w:tabs>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Велике податкове навантаження на підприємства житлово-комунального господарства, які і так є збитковими</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Скасувати ПДВ для підприємств ЖКГ</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Тячів, Коломия, Малинівка, Сосниця, Чугуїв, Яготин </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pStyle w:val="1"/>
              <w:suppressAutoHyphens/>
              <w:spacing w:after="0" w:line="240" w:lineRule="auto"/>
              <w:ind w:left="0"/>
              <w:jc w:val="both"/>
              <w:rPr>
                <w:rFonts w:ascii="Times New Roman" w:hAnsi="Times New Roman"/>
                <w:sz w:val="24"/>
                <w:szCs w:val="24"/>
                <w:lang w:val="uk-UA" w:eastAsia="ru-RU"/>
              </w:rPr>
            </w:pPr>
            <w:r w:rsidRPr="004114AB">
              <w:rPr>
                <w:rFonts w:ascii="Times New Roman" w:hAnsi="Times New Roman"/>
                <w:sz w:val="24"/>
                <w:szCs w:val="24"/>
                <w:lang w:val="uk-UA" w:eastAsia="ru-RU"/>
              </w:rPr>
              <w:t>Норми Житлового кодексу України є застарілими та потребують суттєвого оновлення. Зокрема, це стосується механізму переведення житлових приміщень в нежитлові</w:t>
            </w:r>
          </w:p>
        </w:tc>
        <w:tc>
          <w:tcPr>
            <w:tcW w:w="4725" w:type="dxa"/>
          </w:tcPr>
          <w:p w:rsidR="008C61A6" w:rsidRPr="004114AB" w:rsidRDefault="008C61A6" w:rsidP="004114AB">
            <w:pPr>
              <w:autoSpaceDE w:val="0"/>
              <w:autoSpaceDN w:val="0"/>
              <w:adjustRightInd w:val="0"/>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Розробити та підтримати проходження у парламенті оновленого Житлового кодексу України</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Болград, Бровари, Дергачі, Коростень, Мукачево</w:t>
            </w:r>
          </w:p>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Бердянськ Енергодар, Попасна</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tabs>
                <w:tab w:val="left" w:pos="851"/>
              </w:tabs>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Підприємства  - надавачі послуг поводження з відходами зазнають суттєвих збитків внаслідок відмови споживачів послуги укладати договори на цю послугу </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Внести зміни до Закону України «Про відходи», якими запровадити обов’язкове укладення договору на вивезення твердих побутових відходів, а також передбачити посилення відповідальність споживачів за неукладення такого договору</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Велика Олександрівка, Витвиця, Глобино, Дергачі, Кам’янка</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 xml:space="preserve">Порядок проведення ремонту та утримання </w:t>
            </w:r>
            <w:r w:rsidRPr="004114AB">
              <w:rPr>
                <w:rFonts w:ascii="Times New Roman" w:hAnsi="Times New Roman"/>
                <w:sz w:val="24"/>
                <w:szCs w:val="24"/>
                <w:lang w:val="uk-UA"/>
              </w:rPr>
              <w:lastRenderedPageBreak/>
              <w:t>об’єктів благоустрою населених пунктів, затверджений наказом Державного комітету України з питань житлово-комунального господарства від 23.09.2003 № 154, не передбачає виконання сучасних видів робіт з утримання таких об’єктів тощо, внаслідок чого відсутня можливість розрахунку вартості цих робіт</w:t>
            </w:r>
          </w:p>
        </w:tc>
        <w:tc>
          <w:tcPr>
            <w:tcW w:w="4725" w:type="dxa"/>
          </w:tcPr>
          <w:p w:rsidR="008C61A6" w:rsidRPr="004114AB" w:rsidRDefault="008C61A6" w:rsidP="004114AB">
            <w:pPr>
              <w:shd w:val="clear" w:color="auto" w:fill="FFFFFF"/>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lastRenderedPageBreak/>
              <w:t xml:space="preserve">Внести необхідні зміни у зазначений </w:t>
            </w:r>
            <w:r w:rsidRPr="004114AB">
              <w:rPr>
                <w:rFonts w:ascii="Times New Roman" w:hAnsi="Times New Roman"/>
                <w:sz w:val="24"/>
                <w:szCs w:val="24"/>
                <w:lang w:val="uk-UA"/>
              </w:rPr>
              <w:lastRenderedPageBreak/>
              <w:t>Порядок, передбачити і в інших нормативно-правових актах новітні напрямки розвитку інфраструктури міста, доповнити їх сучасними видами робіт з ремонту та утримання об’єктів благоустрою</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lastRenderedPageBreak/>
              <w:t>Дніпро, Витвиця, Харків</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Відміна диференційованих тарифів на електроенергію, за відсутності пропозиції погодинного постачання її у нічний час спонукає до скорочення надання послуг з водопостачання та зовнішнього освітлення, а також покладає додатковий фінансовий тягар на місцеві бюджети</w:t>
            </w:r>
          </w:p>
        </w:tc>
        <w:tc>
          <w:tcPr>
            <w:tcW w:w="4725" w:type="dxa"/>
          </w:tcPr>
          <w:p w:rsidR="008C61A6" w:rsidRPr="004114AB" w:rsidRDefault="008C61A6" w:rsidP="004114AB">
            <w:pPr>
              <w:pStyle w:val="a3"/>
              <w:widowControl w:val="0"/>
              <w:tabs>
                <w:tab w:val="left" w:pos="459"/>
              </w:tabs>
              <w:spacing w:after="0" w:line="240" w:lineRule="auto"/>
              <w:ind w:left="0"/>
              <w:jc w:val="both"/>
              <w:rPr>
                <w:rFonts w:ascii="Times New Roman" w:eastAsia="Times New Roman" w:hAnsi="Times New Roman"/>
                <w:sz w:val="24"/>
                <w:szCs w:val="24"/>
              </w:rPr>
            </w:pPr>
            <w:r w:rsidRPr="004114AB">
              <w:rPr>
                <w:rFonts w:ascii="Times New Roman" w:eastAsia="Times New Roman" w:hAnsi="Times New Roman"/>
                <w:sz w:val="24"/>
                <w:szCs w:val="24"/>
              </w:rPr>
              <w:t>Забезпечення повноцінного функціонування роздрібного ринку електричної енергії, за якого споживачам буде пропонуватися можливість придбання її погодинно у нічний час</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Клесів, Сокиряни, Східниця, Чкаловське, Горішні Плавні, Яремче, Надвірна</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eastAsia="uk-UA" w:bidi="uk-UA"/>
              </w:rPr>
              <w:t>Передбачений діючим законодавством механізм обслуговування внутрішньобудинкових газових мереж</w:t>
            </w:r>
          </w:p>
        </w:tc>
        <w:tc>
          <w:tcPr>
            <w:tcW w:w="4725" w:type="dxa"/>
          </w:tcPr>
          <w:p w:rsidR="008C61A6" w:rsidRPr="004114AB" w:rsidRDefault="008C61A6" w:rsidP="004114AB">
            <w:pPr>
              <w:pStyle w:val="a3"/>
              <w:widowControl w:val="0"/>
              <w:tabs>
                <w:tab w:val="left" w:pos="459"/>
              </w:tabs>
              <w:spacing w:after="0" w:line="240" w:lineRule="auto"/>
              <w:ind w:left="0"/>
              <w:jc w:val="both"/>
              <w:rPr>
                <w:rFonts w:ascii="Times New Roman" w:hAnsi="Times New Roman"/>
                <w:sz w:val="24"/>
                <w:szCs w:val="24"/>
                <w:lang w:eastAsia="uk-UA" w:bidi="uk-UA"/>
              </w:rPr>
            </w:pPr>
            <w:r w:rsidRPr="004114AB">
              <w:rPr>
                <w:rFonts w:ascii="Times New Roman" w:hAnsi="Times New Roman"/>
                <w:sz w:val="24"/>
                <w:szCs w:val="24"/>
                <w:lang w:eastAsia="uk-UA" w:bidi="uk-UA"/>
              </w:rPr>
              <w:t>Підтримати проходження у Парламенті законопроекту № 10228, який вирішує зазначену проблему</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Рубіжне, Мирноград, Сєвєродонецьк, Чугуїв, Ужгород,Новоград-Волинський, Кременчук</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Перелік документів, передача від ОМС яких співвласникам багатоквартирного будинку  передбачена наказом Мінрегіону № 176 від 17.07.2018 року, є надмірним. Окремі передбачені наказом документи не можуть бути відновлені, виготовлення інших дороговартісне і не має практичної доцільності</w:t>
            </w:r>
          </w:p>
        </w:tc>
        <w:tc>
          <w:tcPr>
            <w:tcW w:w="4725" w:type="dxa"/>
          </w:tcPr>
          <w:p w:rsidR="008C61A6" w:rsidRPr="004114AB" w:rsidRDefault="008C61A6" w:rsidP="004114AB">
            <w:pPr>
              <w:pStyle w:val="a3"/>
              <w:widowControl w:val="0"/>
              <w:tabs>
                <w:tab w:val="left" w:pos="459"/>
              </w:tabs>
              <w:spacing w:after="0" w:line="240" w:lineRule="auto"/>
              <w:ind w:left="0"/>
              <w:jc w:val="both"/>
              <w:rPr>
                <w:rFonts w:ascii="Times New Roman" w:eastAsia="Times New Roman" w:hAnsi="Times New Roman"/>
                <w:sz w:val="24"/>
                <w:szCs w:val="24"/>
              </w:rPr>
            </w:pPr>
            <w:r w:rsidRPr="004114AB">
              <w:rPr>
                <w:rFonts w:ascii="Times New Roman" w:eastAsia="Times New Roman" w:hAnsi="Times New Roman"/>
                <w:sz w:val="24"/>
                <w:szCs w:val="24"/>
              </w:rPr>
              <w:t xml:space="preserve">Скорочення переліку документації, яка повинна передаватися ОМС </w:t>
            </w:r>
            <w:r w:rsidRPr="004114AB">
              <w:rPr>
                <w:rFonts w:ascii="Times New Roman" w:hAnsi="Times New Roman"/>
                <w:sz w:val="24"/>
                <w:szCs w:val="24"/>
              </w:rPr>
              <w:t xml:space="preserve"> </w:t>
            </w:r>
            <w:r w:rsidRPr="004114AB">
              <w:rPr>
                <w:rFonts w:ascii="Times New Roman" w:eastAsia="Times New Roman" w:hAnsi="Times New Roman"/>
                <w:sz w:val="24"/>
                <w:szCs w:val="24"/>
              </w:rPr>
              <w:t>співвласникам багатоквартирного будинку п</w:t>
            </w:r>
            <w:r w:rsidRPr="004114AB">
              <w:rPr>
                <w:rFonts w:ascii="Times New Roman" w:hAnsi="Times New Roman"/>
                <w:sz w:val="24"/>
                <w:szCs w:val="24"/>
              </w:rPr>
              <w:t>ереліку технічної документації на багатоквартирний будинок», затвердженому наказом Міністерства регіонального розвитку, будівництва та житлово-комунального господарства України № 176 від 17.07.2018 року, зареєстрованим в Мінюсті України 16.08.2018р. за № 930/32382</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Мирноград, Кременчук, Вінниця, Черкаси</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pStyle w:val="10"/>
              <w:ind w:left="0"/>
              <w:jc w:val="both"/>
              <w:rPr>
                <w:rFonts w:ascii="Times New Roman" w:hAnsi="Times New Roman"/>
                <w:b/>
                <w:sz w:val="24"/>
                <w:szCs w:val="24"/>
                <w:lang w:val="uk-UA"/>
              </w:rPr>
            </w:pPr>
            <w:r w:rsidRPr="004114AB">
              <w:rPr>
                <w:rFonts w:ascii="Times New Roman" w:hAnsi="Times New Roman"/>
                <w:sz w:val="24"/>
                <w:szCs w:val="24"/>
                <w:lang w:val="uk-UA" w:eastAsia="ru-RU"/>
              </w:rPr>
              <w:t xml:space="preserve">Несвоєчасне відшкодування державою наданих підприємствами ТКЕ пільг та субсидій на послуги теплопостачання </w:t>
            </w:r>
            <w:r w:rsidRPr="004114AB">
              <w:rPr>
                <w:rFonts w:ascii="Times New Roman" w:hAnsi="Times New Roman"/>
                <w:sz w:val="24"/>
                <w:szCs w:val="24"/>
                <w:lang w:val="uk-UA" w:eastAsia="ru-RU"/>
              </w:rPr>
              <w:lastRenderedPageBreak/>
              <w:t>призводить до нарахування НАК «Нафтогаз України» штрафних санкцій за порушення строків розрахунків за договорами на постачання природного газу (3% річних та інфляційні втрати ). При цьому джерело  відшкодування цих штрафних санкцій відсутнє</w:t>
            </w:r>
          </w:p>
        </w:tc>
        <w:tc>
          <w:tcPr>
            <w:tcW w:w="4725" w:type="dxa"/>
          </w:tcPr>
          <w:p w:rsidR="008C61A6" w:rsidRPr="004114AB" w:rsidRDefault="008C61A6" w:rsidP="004114AB">
            <w:pPr>
              <w:pStyle w:val="10"/>
              <w:ind w:left="0"/>
              <w:jc w:val="both"/>
              <w:rPr>
                <w:rFonts w:ascii="Times New Roman" w:hAnsi="Times New Roman"/>
                <w:sz w:val="24"/>
                <w:szCs w:val="24"/>
                <w:lang w:val="uk-UA" w:eastAsia="ru-RU"/>
              </w:rPr>
            </w:pPr>
            <w:r w:rsidRPr="004114AB">
              <w:rPr>
                <w:rFonts w:ascii="Times New Roman" w:hAnsi="Times New Roman"/>
                <w:sz w:val="24"/>
                <w:szCs w:val="24"/>
                <w:lang w:val="uk-UA" w:eastAsia="ru-RU"/>
              </w:rPr>
              <w:lastRenderedPageBreak/>
              <w:t xml:space="preserve">Внести зміни до підзаконних нормативно-правових актів, передбачивши звільнення підприємств ТКЕ від нарахування </w:t>
            </w:r>
            <w:r w:rsidRPr="004114AB">
              <w:rPr>
                <w:rFonts w:ascii="Times New Roman" w:hAnsi="Times New Roman"/>
                <w:sz w:val="24"/>
                <w:szCs w:val="24"/>
                <w:lang w:val="uk-UA" w:eastAsia="ru-RU"/>
              </w:rPr>
              <w:lastRenderedPageBreak/>
              <w:t>штрафних санкцій за несвоєчасний розрахунок за природний газ на суму заборгованості держави за надані пільги та субсидії.</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lastRenderedPageBreak/>
              <w:t>Новоград-Волинський</w:t>
            </w:r>
          </w:p>
        </w:tc>
      </w:tr>
      <w:tr w:rsidR="008C61A6" w:rsidRPr="004114AB" w:rsidTr="004114AB">
        <w:trPr>
          <w:trHeight w:val="3679"/>
        </w:trPr>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pStyle w:val="10"/>
              <w:spacing w:after="0" w:line="240" w:lineRule="atLeast"/>
              <w:ind w:left="0"/>
              <w:jc w:val="both"/>
              <w:rPr>
                <w:rFonts w:ascii="Times New Roman" w:hAnsi="Times New Roman"/>
                <w:sz w:val="24"/>
                <w:szCs w:val="24"/>
                <w:lang w:val="uk-UA"/>
              </w:rPr>
            </w:pPr>
            <w:r w:rsidRPr="004114AB">
              <w:rPr>
                <w:rFonts w:ascii="Times New Roman" w:hAnsi="Times New Roman"/>
                <w:sz w:val="24"/>
                <w:szCs w:val="24"/>
                <w:lang w:val="uk-UA" w:eastAsia="ru-RU"/>
              </w:rPr>
              <w:t>Договори на постачання природного газу, які укладені підприємствами ТКЕ з НАК «Нафтогаз України»,  передбачають обов’язок споживача відшкодувати постачальнику збитки у випадку, якщо фактичний обсяг використаного природного газу більше ніж на 5% (як в більшу, так і в меншу сторону) відрізняється від замовленого на відповідний період. За умови неможливості чітко передбачити погодні умови, підприємства ТКЕ або не може забезпечити необхідні параметри теплоносія, або сплачує постачальнику штрафні санкції, джерело яких не визначене</w:t>
            </w:r>
          </w:p>
        </w:tc>
        <w:tc>
          <w:tcPr>
            <w:tcW w:w="4725" w:type="dxa"/>
          </w:tcPr>
          <w:p w:rsidR="008C61A6" w:rsidRPr="004114AB" w:rsidRDefault="008C61A6" w:rsidP="004114AB">
            <w:pPr>
              <w:pStyle w:val="a3"/>
              <w:widowControl w:val="0"/>
              <w:tabs>
                <w:tab w:val="left" w:pos="459"/>
              </w:tabs>
              <w:spacing w:after="0" w:line="240" w:lineRule="atLeast"/>
              <w:ind w:left="0"/>
              <w:jc w:val="both"/>
              <w:rPr>
                <w:rFonts w:ascii="Times New Roman" w:eastAsia="Times New Roman" w:hAnsi="Times New Roman"/>
                <w:sz w:val="24"/>
                <w:szCs w:val="24"/>
              </w:rPr>
            </w:pPr>
            <w:r w:rsidRPr="004114AB">
              <w:rPr>
                <w:rFonts w:ascii="Times New Roman" w:eastAsia="Times New Roman" w:hAnsi="Times New Roman"/>
                <w:sz w:val="24"/>
                <w:szCs w:val="24"/>
              </w:rPr>
              <w:t>Виключити з Правил постачання природного газу, дискримінаційні норми, які не стимулюють до економії енергоресурсів, та є підставою для нарахування штрафних санкцій</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Новоград-Волинський, Здолбунів, Умань, Луцьк, Каховка</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pStyle w:val="a5"/>
              <w:spacing w:before="0" w:after="0"/>
              <w:ind w:right="282"/>
              <w:jc w:val="both"/>
              <w:rPr>
                <w:rFonts w:ascii="Times New Roman" w:hAnsi="Times New Roman"/>
                <w:lang w:eastAsia="ru-RU"/>
              </w:rPr>
            </w:pPr>
            <w:r w:rsidRPr="004114AB">
              <w:rPr>
                <w:rFonts w:ascii="Times New Roman" w:hAnsi="Times New Roman"/>
                <w:lang w:eastAsia="ru-RU"/>
              </w:rPr>
              <w:t xml:space="preserve">Невідшкодована державою заборгованість з різниці в тарифах, зменшення рівня оплати споживачами житлово-комунальних послуг призводить до неможливості виконання підприємствами ТКЕ вимог постанови КМУ від 19.10.2018 №867 по оплаті не нижче 90%  спожитого природного газу, і як наслідок, може призвести до відключення підприємств ТКЕ від </w:t>
            </w:r>
            <w:r w:rsidRPr="004114AB">
              <w:rPr>
                <w:rFonts w:ascii="Times New Roman" w:hAnsi="Times New Roman"/>
                <w:lang w:eastAsia="ru-RU"/>
              </w:rPr>
              <w:lastRenderedPageBreak/>
              <w:t>газопостачання</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lastRenderedPageBreak/>
              <w:t>Внести зміни до постанови КМУ від 19.10.2018 №867, передбачивши, що необхідний мінімальний рівень оплати спожитого природного газу повинен складати не нижче 78 %</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Харків, Павлоград, Здолбунів</w:t>
            </w:r>
          </w:p>
        </w:tc>
      </w:tr>
      <w:tr w:rsidR="008C61A6" w:rsidRPr="004114AB" w:rsidTr="004114AB">
        <w:tc>
          <w:tcPr>
            <w:tcW w:w="675" w:type="dxa"/>
          </w:tcPr>
          <w:p w:rsidR="008C61A6" w:rsidRPr="004114AB" w:rsidRDefault="008C61A6" w:rsidP="004114AB">
            <w:pPr>
              <w:pStyle w:val="a3"/>
              <w:numPr>
                <w:ilvl w:val="0"/>
                <w:numId w:val="1"/>
              </w:numPr>
              <w:spacing w:after="0" w:line="240" w:lineRule="auto"/>
              <w:ind w:left="0" w:right="34" w:firstLine="0"/>
              <w:contextualSpacing w:val="0"/>
              <w:jc w:val="both"/>
              <w:rPr>
                <w:rFonts w:ascii="Times New Roman" w:hAnsi="Times New Roman"/>
                <w:sz w:val="24"/>
                <w:szCs w:val="24"/>
              </w:rPr>
            </w:pP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Довготривала процедура коригування тарифів для підприємств теплопостачання, централізованого водопостачання та водовідведення у випадку зміни вартості газу, електроенергії, мінімальної заробітної плати, інших регульованих державою складових, призводить до виникнення різниці в тарифах</w:t>
            </w:r>
          </w:p>
        </w:tc>
        <w:tc>
          <w:tcPr>
            <w:tcW w:w="4725" w:type="dxa"/>
          </w:tcPr>
          <w:p w:rsidR="008C61A6" w:rsidRPr="004114AB" w:rsidRDefault="008C61A6" w:rsidP="004114AB">
            <w:pPr>
              <w:pStyle w:val="a3"/>
              <w:widowControl w:val="0"/>
              <w:tabs>
                <w:tab w:val="left" w:pos="459"/>
              </w:tabs>
              <w:spacing w:after="0" w:line="240" w:lineRule="auto"/>
              <w:ind w:left="0"/>
              <w:jc w:val="both"/>
              <w:rPr>
                <w:rFonts w:ascii="Times New Roman" w:eastAsia="Times New Roman" w:hAnsi="Times New Roman"/>
                <w:sz w:val="24"/>
                <w:szCs w:val="24"/>
              </w:rPr>
            </w:pPr>
            <w:r w:rsidRPr="004114AB">
              <w:rPr>
                <w:rFonts w:ascii="Times New Roman" w:eastAsia="Times New Roman" w:hAnsi="Times New Roman"/>
                <w:sz w:val="24"/>
                <w:szCs w:val="24"/>
              </w:rPr>
              <w:t xml:space="preserve">Внести зміни до діючого законодавства, які забезпечать можливість коригувати тарифи на комунальні послуги за спрощеним (у тому числі й у часі) механізмом </w:t>
            </w:r>
          </w:p>
        </w:tc>
        <w:tc>
          <w:tcPr>
            <w:tcW w:w="4725" w:type="dxa"/>
          </w:tcPr>
          <w:p w:rsidR="008C61A6" w:rsidRPr="004114AB" w:rsidRDefault="008C61A6" w:rsidP="004114AB">
            <w:pPr>
              <w:spacing w:after="0" w:line="240" w:lineRule="auto"/>
              <w:jc w:val="both"/>
              <w:rPr>
                <w:rFonts w:ascii="Times New Roman" w:hAnsi="Times New Roman"/>
                <w:sz w:val="24"/>
                <w:szCs w:val="24"/>
                <w:lang w:val="uk-UA"/>
              </w:rPr>
            </w:pPr>
            <w:r w:rsidRPr="004114AB">
              <w:rPr>
                <w:rFonts w:ascii="Times New Roman" w:hAnsi="Times New Roman"/>
                <w:sz w:val="24"/>
                <w:szCs w:val="24"/>
                <w:lang w:val="uk-UA"/>
              </w:rPr>
              <w:t>Чугуїв, Яремче,  Вінниця, Білопілля, Ходорів, Львів</w:t>
            </w:r>
          </w:p>
        </w:tc>
      </w:tr>
    </w:tbl>
    <w:p w:rsidR="00106440" w:rsidRPr="008C61A6" w:rsidRDefault="00106440" w:rsidP="00617037">
      <w:pPr>
        <w:jc w:val="both"/>
        <w:rPr>
          <w:lang w:val="uk-UA"/>
        </w:rPr>
      </w:pPr>
    </w:p>
    <w:sectPr w:rsidR="00106440" w:rsidRPr="008C61A6" w:rsidSect="004114AB">
      <w:headerReference w:type="default" r:id="rId7"/>
      <w:pgSz w:w="16838" w:h="11906"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F2B" w:rsidRDefault="002C3F2B" w:rsidP="00617037">
      <w:pPr>
        <w:spacing w:after="0" w:line="240" w:lineRule="auto"/>
      </w:pPr>
      <w:r>
        <w:separator/>
      </w:r>
    </w:p>
  </w:endnote>
  <w:endnote w:type="continuationSeparator" w:id="0">
    <w:p w:rsidR="002C3F2B" w:rsidRDefault="002C3F2B" w:rsidP="0061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F2B" w:rsidRDefault="002C3F2B" w:rsidP="00617037">
      <w:pPr>
        <w:spacing w:after="0" w:line="240" w:lineRule="auto"/>
      </w:pPr>
      <w:r>
        <w:separator/>
      </w:r>
    </w:p>
  </w:footnote>
  <w:footnote w:type="continuationSeparator" w:id="0">
    <w:p w:rsidR="002C3F2B" w:rsidRDefault="002C3F2B" w:rsidP="00617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734662"/>
      <w:docPartObj>
        <w:docPartGallery w:val="Page Numbers (Top of Page)"/>
        <w:docPartUnique/>
      </w:docPartObj>
    </w:sdtPr>
    <w:sdtEndPr/>
    <w:sdtContent>
      <w:p w:rsidR="00617037" w:rsidRDefault="00617037">
        <w:pPr>
          <w:pStyle w:val="a8"/>
          <w:jc w:val="right"/>
        </w:pPr>
        <w:r>
          <w:fldChar w:fldCharType="begin"/>
        </w:r>
        <w:r>
          <w:instrText>PAGE   \* MERGEFORMAT</w:instrText>
        </w:r>
        <w:r>
          <w:fldChar w:fldCharType="separate"/>
        </w:r>
        <w:r w:rsidR="004114AB">
          <w:rPr>
            <w:noProof/>
          </w:rPr>
          <w:t>2</w:t>
        </w:r>
        <w:r>
          <w:fldChar w:fldCharType="end"/>
        </w:r>
      </w:p>
    </w:sdtContent>
  </w:sdt>
  <w:p w:rsidR="00617037" w:rsidRDefault="0061703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695A"/>
    <w:multiLevelType w:val="hybridMultilevel"/>
    <w:tmpl w:val="C1BA8D32"/>
    <w:lvl w:ilvl="0" w:tplc="EEF0301A">
      <w:numFmt w:val="bullet"/>
      <w:lvlText w:val="-"/>
      <w:lvlJc w:val="left"/>
      <w:pPr>
        <w:ind w:left="1126" w:hanging="360"/>
      </w:pPr>
      <w:rPr>
        <w:rFonts w:ascii="Times New Roman" w:eastAsia="Times New Roman" w:hAnsi="Times New Roman" w:cs="Times New Roman"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1" w15:restartNumberingAfterBreak="0">
    <w:nsid w:val="14D159F4"/>
    <w:multiLevelType w:val="hybridMultilevel"/>
    <w:tmpl w:val="E522F998"/>
    <w:lvl w:ilvl="0" w:tplc="E58263A8">
      <w:start w:val="1"/>
      <w:numFmt w:val="decimal"/>
      <w:lvlText w:val="%1."/>
      <w:lvlJc w:val="left"/>
      <w:pPr>
        <w:ind w:left="360" w:hanging="360"/>
      </w:pPr>
      <w:rPr>
        <w:rFonts w:cs="Times New Roman" w:hint="default"/>
        <w:b w:val="0"/>
      </w:rPr>
    </w:lvl>
    <w:lvl w:ilvl="1" w:tplc="04190019">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15:restartNumberingAfterBreak="0">
    <w:nsid w:val="1A6E33F5"/>
    <w:multiLevelType w:val="hybridMultilevel"/>
    <w:tmpl w:val="4D8C58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4D1E70"/>
    <w:multiLevelType w:val="hybridMultilevel"/>
    <w:tmpl w:val="7A58E57A"/>
    <w:lvl w:ilvl="0" w:tplc="28F6F086">
      <w:start w:val="1"/>
      <w:numFmt w:val="decimal"/>
      <w:lvlText w:val="%1."/>
      <w:lvlJc w:val="left"/>
      <w:pPr>
        <w:ind w:left="644" w:hanging="360"/>
      </w:pPr>
      <w:rPr>
        <w:b/>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4" w15:restartNumberingAfterBreak="0">
    <w:nsid w:val="4962767E"/>
    <w:multiLevelType w:val="hybridMultilevel"/>
    <w:tmpl w:val="2926E806"/>
    <w:lvl w:ilvl="0" w:tplc="12B88B66">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A0"/>
    <w:rsid w:val="000174A3"/>
    <w:rsid w:val="0002301A"/>
    <w:rsid w:val="0004192D"/>
    <w:rsid w:val="00064E68"/>
    <w:rsid w:val="000B7C5E"/>
    <w:rsid w:val="00106440"/>
    <w:rsid w:val="00182A7A"/>
    <w:rsid w:val="001D573E"/>
    <w:rsid w:val="00202EA8"/>
    <w:rsid w:val="00226DA7"/>
    <w:rsid w:val="002C3F2B"/>
    <w:rsid w:val="00310442"/>
    <w:rsid w:val="00395D00"/>
    <w:rsid w:val="003B0BAB"/>
    <w:rsid w:val="003C73A2"/>
    <w:rsid w:val="003E6379"/>
    <w:rsid w:val="004114AB"/>
    <w:rsid w:val="0044003E"/>
    <w:rsid w:val="00465B84"/>
    <w:rsid w:val="0047422F"/>
    <w:rsid w:val="004F0592"/>
    <w:rsid w:val="00504556"/>
    <w:rsid w:val="0050705B"/>
    <w:rsid w:val="00580314"/>
    <w:rsid w:val="005C6EF9"/>
    <w:rsid w:val="005D3416"/>
    <w:rsid w:val="006125F3"/>
    <w:rsid w:val="00617037"/>
    <w:rsid w:val="006268B4"/>
    <w:rsid w:val="0063695B"/>
    <w:rsid w:val="006A653D"/>
    <w:rsid w:val="006C2E75"/>
    <w:rsid w:val="006F4B97"/>
    <w:rsid w:val="00710D49"/>
    <w:rsid w:val="00725C37"/>
    <w:rsid w:val="007C2570"/>
    <w:rsid w:val="008079E0"/>
    <w:rsid w:val="00880997"/>
    <w:rsid w:val="008B4AE5"/>
    <w:rsid w:val="008C61A6"/>
    <w:rsid w:val="008F70D9"/>
    <w:rsid w:val="00914599"/>
    <w:rsid w:val="009158D4"/>
    <w:rsid w:val="00943FA0"/>
    <w:rsid w:val="00981838"/>
    <w:rsid w:val="00A314E6"/>
    <w:rsid w:val="00A5375D"/>
    <w:rsid w:val="00A60190"/>
    <w:rsid w:val="00A67682"/>
    <w:rsid w:val="00A97C53"/>
    <w:rsid w:val="00AD03C3"/>
    <w:rsid w:val="00AE30F9"/>
    <w:rsid w:val="00AE5CDB"/>
    <w:rsid w:val="00AF295C"/>
    <w:rsid w:val="00AF3F5E"/>
    <w:rsid w:val="00BA57AF"/>
    <w:rsid w:val="00BF0136"/>
    <w:rsid w:val="00C50DA3"/>
    <w:rsid w:val="00C5152E"/>
    <w:rsid w:val="00C94315"/>
    <w:rsid w:val="00CF1B3A"/>
    <w:rsid w:val="00CF7DF3"/>
    <w:rsid w:val="00D76354"/>
    <w:rsid w:val="00DB3D7E"/>
    <w:rsid w:val="00E910ED"/>
    <w:rsid w:val="00EF1914"/>
    <w:rsid w:val="00F2004B"/>
    <w:rsid w:val="00F60006"/>
    <w:rsid w:val="00FD40AB"/>
    <w:rsid w:val="00FE65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173B8-CA61-4225-97EC-74E78C40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0F9"/>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E30F9"/>
    <w:pPr>
      <w:ind w:left="720"/>
      <w:contextualSpacing/>
    </w:pPr>
    <w:rPr>
      <w:rFonts w:eastAsia="Calibri"/>
      <w:lang w:val="uk-UA"/>
    </w:rPr>
  </w:style>
  <w:style w:type="paragraph" w:customStyle="1" w:styleId="1">
    <w:name w:val="Абзац списку1"/>
    <w:basedOn w:val="a"/>
    <w:rsid w:val="00AE30F9"/>
    <w:pPr>
      <w:ind w:left="720"/>
      <w:contextualSpacing/>
    </w:pPr>
    <w:rPr>
      <w:lang w:eastAsia="en-US"/>
    </w:rPr>
  </w:style>
  <w:style w:type="paragraph" w:customStyle="1" w:styleId="rvps6">
    <w:name w:val="rvps6"/>
    <w:basedOn w:val="a"/>
    <w:rsid w:val="00AE30F9"/>
    <w:pPr>
      <w:spacing w:before="100" w:beforeAutospacing="1" w:after="100" w:afterAutospacing="1" w:line="240" w:lineRule="auto"/>
    </w:pPr>
    <w:rPr>
      <w:rFonts w:ascii="Times New Roman" w:hAnsi="Times New Roman"/>
      <w:sz w:val="24"/>
      <w:szCs w:val="24"/>
    </w:rPr>
  </w:style>
  <w:style w:type="character" w:customStyle="1" w:styleId="a4">
    <w:name w:val="Абзац списка Знак"/>
    <w:link w:val="a3"/>
    <w:uiPriority w:val="34"/>
    <w:rsid w:val="00AE30F9"/>
    <w:rPr>
      <w:rFonts w:ascii="Calibri" w:eastAsia="Calibri" w:hAnsi="Calibri" w:cs="Times New Roman"/>
      <w:lang w:eastAsia="ru-RU"/>
    </w:rPr>
  </w:style>
  <w:style w:type="paragraph" w:customStyle="1" w:styleId="BasicParagraph">
    <w:name w:val="[Basic Paragraph]"/>
    <w:basedOn w:val="a"/>
    <w:uiPriority w:val="99"/>
    <w:rsid w:val="00AE30F9"/>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eastAsia="en-US"/>
    </w:rPr>
  </w:style>
  <w:style w:type="paragraph" w:styleId="a5">
    <w:name w:val="Normal (Web)"/>
    <w:basedOn w:val="a"/>
    <w:rsid w:val="00914599"/>
    <w:pPr>
      <w:spacing w:before="100" w:beforeAutospacing="1" w:after="100" w:afterAutospacing="1" w:line="240" w:lineRule="auto"/>
    </w:pPr>
    <w:rPr>
      <w:rFonts w:ascii="Liberation Serif" w:hAnsi="Liberation Serif"/>
      <w:sz w:val="24"/>
      <w:szCs w:val="24"/>
      <w:lang w:val="uk-UA" w:eastAsia="uk-UA"/>
    </w:rPr>
  </w:style>
  <w:style w:type="paragraph" w:styleId="a6">
    <w:name w:val="Body Text Indent"/>
    <w:basedOn w:val="a"/>
    <w:link w:val="a7"/>
    <w:uiPriority w:val="99"/>
    <w:rsid w:val="00914599"/>
    <w:pPr>
      <w:autoSpaceDE w:val="0"/>
      <w:autoSpaceDN w:val="0"/>
      <w:adjustRightInd w:val="0"/>
      <w:spacing w:after="0" w:line="240" w:lineRule="auto"/>
      <w:ind w:firstLine="900"/>
    </w:pPr>
    <w:rPr>
      <w:rFonts w:ascii="Times New Roman" w:hAnsi="Times New Roman"/>
      <w:sz w:val="28"/>
      <w:szCs w:val="24"/>
      <w:lang w:val="uk-UA"/>
    </w:rPr>
  </w:style>
  <w:style w:type="character" w:customStyle="1" w:styleId="a7">
    <w:name w:val="Основной текст с отступом Знак"/>
    <w:basedOn w:val="a0"/>
    <w:link w:val="a6"/>
    <w:uiPriority w:val="99"/>
    <w:rsid w:val="00914599"/>
    <w:rPr>
      <w:rFonts w:ascii="Times New Roman" w:eastAsia="Times New Roman" w:hAnsi="Times New Roman" w:cs="Times New Roman"/>
      <w:sz w:val="28"/>
      <w:szCs w:val="24"/>
      <w:lang w:eastAsia="ru-RU"/>
    </w:rPr>
  </w:style>
  <w:style w:type="paragraph" w:styleId="HTML">
    <w:name w:val="HTML Preformatted"/>
    <w:basedOn w:val="a"/>
    <w:link w:val="HTML0"/>
    <w:uiPriority w:val="99"/>
    <w:semiHidden/>
    <w:unhideWhenUsed/>
    <w:rsid w:val="0050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50705B"/>
    <w:rPr>
      <w:rFonts w:ascii="Courier New" w:eastAsia="Times New Roman" w:hAnsi="Courier New" w:cs="Courier New"/>
      <w:sz w:val="20"/>
      <w:szCs w:val="20"/>
      <w:lang w:eastAsia="uk-UA"/>
    </w:rPr>
  </w:style>
  <w:style w:type="paragraph" w:customStyle="1" w:styleId="rvps2">
    <w:name w:val="rvps2"/>
    <w:basedOn w:val="a"/>
    <w:rsid w:val="001D573E"/>
    <w:pPr>
      <w:spacing w:before="100" w:beforeAutospacing="1" w:after="100" w:afterAutospacing="1" w:line="240" w:lineRule="auto"/>
    </w:pPr>
    <w:rPr>
      <w:rFonts w:ascii="Times New Roman" w:hAnsi="Times New Roman"/>
      <w:sz w:val="24"/>
      <w:szCs w:val="24"/>
      <w:lang w:val="en-US" w:eastAsia="en-US"/>
    </w:rPr>
  </w:style>
  <w:style w:type="paragraph" w:customStyle="1" w:styleId="10">
    <w:name w:val="Абзац списка1"/>
    <w:basedOn w:val="a"/>
    <w:rsid w:val="00580314"/>
    <w:pPr>
      <w:spacing w:after="160" w:line="259" w:lineRule="auto"/>
      <w:ind w:left="720"/>
      <w:contextualSpacing/>
    </w:pPr>
    <w:rPr>
      <w:lang w:eastAsia="en-US"/>
    </w:rPr>
  </w:style>
  <w:style w:type="paragraph" w:styleId="a8">
    <w:name w:val="header"/>
    <w:basedOn w:val="a"/>
    <w:link w:val="a9"/>
    <w:uiPriority w:val="99"/>
    <w:unhideWhenUsed/>
    <w:rsid w:val="00617037"/>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17037"/>
    <w:rPr>
      <w:rFonts w:ascii="Calibri" w:eastAsia="Times New Roman" w:hAnsi="Calibri" w:cs="Times New Roman"/>
      <w:lang w:val="ru-RU" w:eastAsia="ru-RU"/>
    </w:rPr>
  </w:style>
  <w:style w:type="paragraph" w:styleId="aa">
    <w:name w:val="footer"/>
    <w:basedOn w:val="a"/>
    <w:link w:val="ab"/>
    <w:uiPriority w:val="99"/>
    <w:unhideWhenUsed/>
    <w:rsid w:val="00617037"/>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17037"/>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7</Pages>
  <Words>8210</Words>
  <Characters>4681</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Hewlett-Packard Company</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Гарник Олег Володимирович</dc:creator>
  <cp:keywords/>
  <dc:description/>
  <cp:lastModifiedBy>Рабошук Ярослав Олексійович</cp:lastModifiedBy>
  <cp:revision>20</cp:revision>
  <dcterms:created xsi:type="dcterms:W3CDTF">2019-05-28T08:22:00Z</dcterms:created>
  <dcterms:modified xsi:type="dcterms:W3CDTF">2019-05-31T12:48:00Z</dcterms:modified>
</cp:coreProperties>
</file>